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460"/>
        <w:spacing w:after="0" w:line="21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w:t>
      </w:r>
    </w:p>
    <w:p>
      <w:pPr>
        <w:ind w:left="460" w:hanging="434"/>
        <w:spacing w:after="0" w:line="235"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 the quarterly period ended September 30, 2023</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12" w:lineRule="exact"/>
        <w:rPr>
          <w:sz w:val="24"/>
          <w:szCs w:val="24"/>
          <w:color w:val="auto"/>
        </w:rPr>
      </w:pPr>
    </w:p>
    <w:p>
      <w:pPr>
        <w:ind w:left="460" w:right="300" w:hanging="434"/>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79375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Corporaton</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4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3"/>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Arial" w:cs="Arial" w:eastAsia="Arial" w:hAnsi="Arial"/>
                <w:sz w:val="18"/>
                <w:szCs w:val="18"/>
                <w:b w:val="1"/>
                <w:bCs w:val="1"/>
                <w:color w:val="auto"/>
              </w:rPr>
              <w:t>85-2560226</w:t>
            </w:r>
          </w:p>
        </w:tc>
        <w:tc>
          <w:tcPr>
            <w:tcW w:w="0" w:type="dxa"/>
            <w:vAlign w:val="bottom"/>
          </w:tcPr>
          <w:p>
            <w:pPr>
              <w:spacing w:after="0"/>
              <w:rPr>
                <w:sz w:val="1"/>
                <w:szCs w:val="1"/>
                <w:color w:val="auto"/>
              </w:rPr>
            </w:pPr>
          </w:p>
        </w:tc>
      </w:tr>
      <w:tr>
        <w:trPr>
          <w:trHeight w:val="229"/>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9"/>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6"/>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72"/>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6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c>
          <w:tcPr>
            <w:tcW w:w="0" w:type="dxa"/>
            <w:vAlign w:val="bottom"/>
          </w:tcPr>
          <w:p>
            <w:pPr>
              <w:spacing w:after="0"/>
              <w:rPr>
                <w:sz w:val="1"/>
                <w:szCs w:val="1"/>
                <w:color w:val="auto"/>
              </w:rPr>
            </w:pPr>
          </w:p>
        </w:tc>
      </w:tr>
      <w:tr>
        <w:trPr>
          <w:trHeight w:val="126"/>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par value $0.0001 per share</w:t>
            </w:r>
          </w:p>
        </w:tc>
        <w:tc>
          <w:tcPr>
            <w:tcW w:w="38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1" w:lineRule="exact"/>
        <w:rPr>
          <w:sz w:val="24"/>
          <w:szCs w:val="24"/>
          <w:color w:val="auto"/>
        </w:rPr>
      </w:pPr>
    </w:p>
    <w:p>
      <w:pPr>
        <w:ind w:right="3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ind w:right="3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0"/>
          <w:szCs w:val="20"/>
          <w:color w:val="auto"/>
        </w:rPr>
      </w:pPr>
    </w:p>
    <w:p>
      <w:pPr>
        <w:ind w:right="2800"/>
        <w:spacing w:after="0" w:line="308"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178,488,254 shares of Class A Common Stock were outstanding at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2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jc w:val="center"/>
        <w:ind w:left="-239"/>
        <w:spacing w:after="0"/>
        <w:rPr>
          <w:sz w:val="20"/>
          <w:szCs w:val="20"/>
          <w:color w:val="auto"/>
        </w:rPr>
      </w:pPr>
      <w:r>
        <w:rPr>
          <w:rFonts w:ascii="Arial" w:cs="Arial" w:eastAsia="Arial" w:hAnsi="Arial"/>
          <w:sz w:val="18"/>
          <w:szCs w:val="18"/>
          <w:b w:val="1"/>
          <w:bCs w:val="1"/>
          <w:u w:val="single" w:color="auto"/>
          <w:color w:val="0E32E1"/>
        </w:rPr>
        <w:t>Part I - Financial Information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Financial Statements (unaudited)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Condensed Consolidated Balance Sheets as of September 30, 2023 and December 31,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Condensed Consolidated Statements of Operations for the Three and Nine Months Ended September 30, 2023 and 2022</w:t>
      </w:r>
    </w:p>
    <w:p>
      <w:pPr>
        <w:spacing w:after="0" w:line="46" w:lineRule="exact"/>
        <w:rPr>
          <w:sz w:val="20"/>
          <w:szCs w:val="20"/>
          <w:color w:val="auto"/>
        </w:rPr>
      </w:pPr>
    </w:p>
    <w:p>
      <w:pPr>
        <w:spacing w:after="0" w:line="234" w:lineRule="auto"/>
        <w:rPr>
          <w:sz w:val="20"/>
          <w:szCs w:val="20"/>
          <w:color w:val="auto"/>
        </w:rPr>
      </w:pPr>
      <w:r>
        <w:rPr>
          <w:rFonts w:ascii="Arial" w:cs="Arial" w:eastAsia="Arial" w:hAnsi="Arial"/>
          <w:sz w:val="18"/>
          <w:szCs w:val="18"/>
          <w:u w:val="single" w:color="auto"/>
          <w:color w:val="0000FF"/>
        </w:rPr>
        <w:t>Condensed Consolidated Statements of Comprehensive Income (Loss) for the Three and Nine Months Ended September 30, 2023 and 2022</w:t>
      </w:r>
    </w:p>
    <w:p>
      <w:pPr>
        <w:spacing w:after="0" w:line="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u w:val="single" w:color="auto"/>
          <w:color w:val="0000FF"/>
        </w:rPr>
        <w:t>Condensed Consolidated Statements of Stockholders’ Equity (Deficit) for the Three and Nine Months Ended September 30, 2023 and 2022</w:t>
      </w:r>
    </w:p>
    <w:p>
      <w:pPr>
        <w:spacing w:after="0" w:line="13"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u w:val="single" w:color="auto"/>
          <w:color w:val="0000FF"/>
        </w:rPr>
        <w:t xml:space="preserve">Condensed Consolidated Statements of Cash Flow for the Nine Months Ended September 30, 2023 and 2022 </w:t>
      </w:r>
      <w:r>
        <w:rPr>
          <w:rFonts w:ascii="Arial" w:cs="Arial" w:eastAsia="Arial" w:hAnsi="Arial"/>
          <w:sz w:val="18"/>
          <w:szCs w:val="18"/>
          <w:u w:val="single" w:color="auto"/>
          <w:color w:val="0E32E1"/>
        </w:rPr>
        <w:t>Condensed Notes to Consolidated Financial Statements</w:t>
      </w:r>
    </w:p>
    <w:p>
      <w:pPr>
        <w:spacing w:after="0" w:line="1" w:lineRule="exact"/>
        <w:rPr>
          <w:sz w:val="20"/>
          <w:szCs w:val="20"/>
          <w:color w:val="auto"/>
        </w:rPr>
      </w:pPr>
    </w:p>
    <w:p>
      <w:pPr>
        <w:ind w:right="2420"/>
        <w:spacing w:after="0" w:line="296" w:lineRule="auto"/>
        <w:rPr>
          <w:sz w:val="20"/>
          <w:szCs w:val="20"/>
          <w:color w:val="auto"/>
        </w:rPr>
      </w:pPr>
      <w:r>
        <w:rPr>
          <w:rFonts w:ascii="Arial" w:cs="Arial" w:eastAsia="Arial" w:hAnsi="Arial"/>
          <w:sz w:val="18"/>
          <w:szCs w:val="18"/>
          <w:u w:val="single" w:color="auto"/>
          <w:color w:val="0000FF"/>
        </w:rPr>
        <w:t>Management’s Discussion and Analysis of Financial Conditions and Operating Results Quantitative and Qualitative Disclosures About Market Risk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Control and Procedures</w:t>
      </w:r>
    </w:p>
    <w:p>
      <w:pPr>
        <w:spacing w:after="0" w:line="200" w:lineRule="exact"/>
        <w:rPr>
          <w:sz w:val="20"/>
          <w:szCs w:val="20"/>
          <w:color w:val="auto"/>
        </w:rPr>
      </w:pPr>
    </w:p>
    <w:p>
      <w:pPr>
        <w:spacing w:after="0" w:line="372" w:lineRule="exact"/>
        <w:rPr>
          <w:sz w:val="20"/>
          <w:szCs w:val="20"/>
          <w:color w:val="auto"/>
        </w:rPr>
      </w:pPr>
    </w:p>
    <w:p>
      <w:pPr>
        <w:jc w:val="center"/>
        <w:ind w:left="-239"/>
        <w:spacing w:after="0"/>
        <w:rPr>
          <w:sz w:val="20"/>
          <w:szCs w:val="20"/>
          <w:color w:val="auto"/>
        </w:rPr>
      </w:pPr>
      <w:r>
        <w:rPr>
          <w:rFonts w:ascii="Arial" w:cs="Arial" w:eastAsia="Arial" w:hAnsi="Arial"/>
          <w:sz w:val="18"/>
          <w:szCs w:val="18"/>
          <w:b w:val="1"/>
          <w:bCs w:val="1"/>
          <w:u w:val="single" w:color="auto"/>
          <w:color w:val="0000FF"/>
        </w:rPr>
        <w:t>Part II -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51435</wp:posOffset>
            </wp:positionV>
            <wp:extent cx="728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2</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5</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7</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7</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28</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36</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38</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38</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41</w:t>
      </w:r>
    </w:p>
    <w:p>
      <w:pPr>
        <w:spacing w:after="0" w:line="213" w:lineRule="exact"/>
        <w:rPr>
          <w:sz w:val="20"/>
          <w:szCs w:val="20"/>
          <w:color w:val="auto"/>
        </w:rPr>
      </w:pPr>
    </w:p>
    <w:p>
      <w:pPr>
        <w:sectPr>
          <w:pgSz w:w="11900" w:h="16838" w:orient="portrait"/>
          <w:cols w:equalWidth="0" w:num="3">
            <w:col w:w="660" w:space="500"/>
            <w:col w:w="8680" w:space="660"/>
            <w:col w:w="740"/>
          </w:cols>
          <w:pgMar w:left="320" w:top="125"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5"/>
          <w:szCs w:val="15"/>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 and par value)</w:t>
            </w: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110,337</w:t>
            </w: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9,127</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19,061</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0" w:type="dxa"/>
            <w:vAlign w:val="bottom"/>
          </w:tcPr>
          <w:p>
            <w:pPr>
              <w:spacing w:after="0"/>
              <w:rPr>
                <w:sz w:val="1"/>
                <w:szCs w:val="1"/>
                <w:color w:val="auto"/>
              </w:rPr>
            </w:pPr>
          </w:p>
        </w:tc>
      </w:tr>
      <w:tr>
        <w:trPr>
          <w:trHeight w:val="213"/>
        </w:trPr>
        <w:tc>
          <w:tcPr>
            <w:tcW w:w="7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142,148</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6,532</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 OF USE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105,620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161,527</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38"/>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493,920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425,262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Arial" w:cs="Arial" w:eastAsia="Arial" w:hAnsi="Arial"/>
                <w:sz w:val="16"/>
                <w:szCs w:val="16"/>
                <w:color w:val="auto"/>
              </w:rPr>
              <w:t>Accounts payable and other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14,793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14,653</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expenses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6"/>
        </w:trPr>
        <w:tc>
          <w:tcPr>
            <w:tcW w:w="77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45,385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20,351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13,064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12"/>
        </w:trPr>
        <w:tc>
          <w:tcPr>
            <w:tcW w:w="77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40,502</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Common stock, $0.0001 par value, 750,000,000 shares authorized as of both September 30, 2023 and December 31,</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2022, and 178,584,150 and 153,628,838 shares issued and outstanding at September 30, 2023 and December 31,</w:t>
            </w:r>
          </w:p>
        </w:tc>
        <w:tc>
          <w:tcPr>
            <w:tcW w:w="1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respectively</w:t>
            </w:r>
          </w:p>
        </w:tc>
        <w:tc>
          <w:tcPr>
            <w:tcW w:w="1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670,947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535,875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(154,754)</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of Navitas Semiconductor Corporation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381,132</w:t>
            </w:r>
          </w:p>
        </w:tc>
        <w:tc>
          <w:tcPr>
            <w:tcW w:w="0" w:type="dxa"/>
            <w:vAlign w:val="bottom"/>
          </w:tcPr>
          <w:p>
            <w:pPr>
              <w:spacing w:after="0"/>
              <w:rPr>
                <w:sz w:val="1"/>
                <w:szCs w:val="1"/>
                <w:color w:val="auto"/>
              </w:rPr>
            </w:pPr>
          </w:p>
        </w:tc>
      </w:tr>
      <w:tr>
        <w:trPr>
          <w:trHeight w:val="213"/>
        </w:trPr>
        <w:tc>
          <w:tcPr>
            <w:tcW w:w="7740" w:type="dxa"/>
            <w:vAlign w:val="bottom"/>
          </w:tcPr>
          <w:p>
            <w:pPr>
              <w:ind w:left="6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384,760</w:t>
            </w:r>
          </w:p>
        </w:tc>
        <w:tc>
          <w:tcPr>
            <w:tcW w:w="0" w:type="dxa"/>
            <w:vAlign w:val="bottom"/>
          </w:tcPr>
          <w:p>
            <w:pPr>
              <w:spacing w:after="0"/>
              <w:rPr>
                <w:sz w:val="1"/>
                <w:szCs w:val="1"/>
                <w:color w:val="auto"/>
              </w:rPr>
            </w:pPr>
          </w:p>
        </w:tc>
      </w:tr>
      <w:tr>
        <w:trPr>
          <w:trHeight w:val="213"/>
        </w:trPr>
        <w:tc>
          <w:tcPr>
            <w:tcW w:w="774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425,262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w:t>
            </w:r>
          </w:p>
        </w:tc>
      </w:tr>
      <w:tr>
        <w:trPr>
          <w:trHeight w:val="175"/>
        </w:trPr>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COST OF REVENUES (exclusive of amortization of intangible assets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included below)</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18,655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34,373</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62,590</w:t>
            </w:r>
          </w:p>
        </w:tc>
      </w:tr>
      <w:tr>
        <w:trPr>
          <w:trHeight w:val="229"/>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99,376</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(92,437)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Gain (loss) from change in fair value of earnout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112,162</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23"/>
        </w:trPr>
        <w:tc>
          <w:tcPr>
            <w:tcW w:w="57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163,376</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70,939</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w w:val="96"/>
              </w:rPr>
              <w:t>LESS: NET LOSS ATTRIBUTABLE TO NONCONTROLLING INTERESTS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INCOME (LOSS) ATTRIBUTABLE TO CONTROLLING INTERESTS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w w:val="96"/>
              </w:rPr>
              <w:t>Basic net income (loss) per share attributable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Diluted net income (loss) per share attributable to common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70"/>
        </w:trPr>
        <w:tc>
          <w:tcPr>
            <w:tcW w:w="5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76"/>
        </w:trPr>
        <w:tc>
          <w:tcPr>
            <w:tcW w:w="5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 USED IN NET INCOME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PER SHARE ATTRIBUTABLE TO COMMON STOCKHOLDERS: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Basic common shares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127,390</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common shares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4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6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INCOME (LOSS) INCLUDING NONCONTROLLING</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COMPREHENSIVE LOSS ATTRIBUTABLE TO NONCONTROLLING INTEREST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55"/>
        </w:trPr>
        <w:tc>
          <w:tcPr>
            <w:tcW w:w="6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COMPREHENSIVE INCOME (LOSS) ATTRIBUTABLE TO</w:t>
            </w:r>
          </w:p>
        </w:tc>
        <w:tc>
          <w:tcPr>
            <w:tcW w:w="2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(112,855)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3"/>
                <w:szCs w:val="13"/>
                <w:b w:val="1"/>
                <w:bCs w:val="1"/>
                <w:color w:val="auto"/>
                <w:w w:val="88"/>
              </w:rPr>
              <w:t>Stockholder's Equity (Deficit)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3760" w:type="dxa"/>
            <w:vAlign w:val="bottom"/>
          </w:tcPr>
          <w:p>
            <w:pPr>
              <w:spacing w:after="0"/>
              <w:rPr>
                <w:sz w:val="24"/>
                <w:szCs w:val="24"/>
                <w:color w:val="auto"/>
              </w:rPr>
            </w:pPr>
          </w:p>
        </w:tc>
        <w:tc>
          <w:tcPr>
            <w:tcW w:w="1580" w:type="dxa"/>
            <w:vAlign w:val="bottom"/>
            <w:gridSpan w:val="3"/>
            <w:vMerge w:val="restart"/>
          </w:tcPr>
          <w:p>
            <w:pPr>
              <w:jc w:val="right"/>
              <w:ind w:right="24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Noncontrolling</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760" w:type="dxa"/>
            <w:vAlign w:val="bottom"/>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 in</w:t>
            </w:r>
          </w:p>
        </w:tc>
        <w:tc>
          <w:tcPr>
            <w:tcW w:w="960" w:type="dxa"/>
            <w:vAlign w:val="bottom"/>
            <w:gridSpan w:val="3"/>
            <w:vMerge w:val="continue"/>
          </w:tcPr>
          <w:p>
            <w:pPr>
              <w:spacing w:after="0"/>
              <w:rPr>
                <w:sz w:val="8"/>
                <w:szCs w:val="8"/>
                <w:color w:val="auto"/>
              </w:rPr>
            </w:pPr>
          </w:p>
        </w:tc>
        <w:tc>
          <w:tcPr>
            <w:tcW w:w="940" w:type="dxa"/>
            <w:vAlign w:val="bottom"/>
            <w:gridSpan w:val="3"/>
          </w:tcPr>
          <w:p>
            <w:pPr>
              <w:ind w:left="20"/>
              <w:spacing w:after="0" w:line="93" w:lineRule="exact"/>
              <w:rPr>
                <w:sz w:val="20"/>
                <w:szCs w:val="20"/>
                <w:color w:val="auto"/>
              </w:rPr>
            </w:pPr>
            <w:r>
              <w:rPr>
                <w:rFonts w:ascii="Arial" w:cs="Arial" w:eastAsia="Arial" w:hAnsi="Arial"/>
                <w:sz w:val="10"/>
                <w:szCs w:val="10"/>
                <w:b w:val="1"/>
                <w:bCs w:val="1"/>
                <w:color w:val="auto"/>
              </w:rPr>
              <w:t>comprehensive</w:t>
            </w:r>
          </w:p>
        </w:tc>
        <w:tc>
          <w:tcPr>
            <w:tcW w:w="9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NINE MONTHS ENDED SEPTEMBER 30, 2023</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deficit</w:t>
            </w:r>
          </w:p>
        </w:tc>
        <w:tc>
          <w:tcPr>
            <w:tcW w:w="6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153,629</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535,875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(154,754)</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384,760</w:t>
            </w:r>
          </w:p>
        </w:tc>
        <w:tc>
          <w:tcPr>
            <w:tcW w:w="0" w:type="dxa"/>
            <w:vAlign w:val="bottom"/>
          </w:tcPr>
          <w:p>
            <w:pPr>
              <w:spacing w:after="0"/>
              <w:rPr>
                <w:sz w:val="1"/>
                <w:szCs w:val="1"/>
                <w:color w:val="auto"/>
              </w:rPr>
            </w:pPr>
          </w:p>
        </w:tc>
      </w:tr>
      <w:tr>
        <w:trPr>
          <w:trHeight w:val="134"/>
        </w:trPr>
        <w:tc>
          <w:tcPr>
            <w:tcW w:w="3760" w:type="dxa"/>
            <w:vAlign w:val="bottom"/>
          </w:tcPr>
          <w:p>
            <w:pPr>
              <w:ind w:left="20"/>
              <w:spacing w:after="0" w:line="134"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60" w:type="dxa"/>
            <w:vAlign w:val="bottom"/>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3,082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2,925</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Shares issued in connection with buyout agreement (see Note 18)</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4,232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4,399</w:t>
            </w:r>
          </w:p>
        </w:tc>
        <w:tc>
          <w:tcPr>
            <w:tcW w:w="0" w:type="dxa"/>
            <w:vAlign w:val="bottom"/>
          </w:tcPr>
          <w:p>
            <w:pPr>
              <w:spacing w:after="0"/>
              <w:rPr>
                <w:sz w:val="1"/>
                <w:szCs w:val="1"/>
                <w:color w:val="auto"/>
              </w:rPr>
            </w:pPr>
          </w:p>
        </w:tc>
      </w:tr>
      <w:tr>
        <w:trPr>
          <w:trHeight w:val="134"/>
        </w:trPr>
        <w:tc>
          <w:tcPr>
            <w:tcW w:w="3760" w:type="dxa"/>
            <w:vAlign w:val="bottom"/>
          </w:tcPr>
          <w:p>
            <w:pPr>
              <w:ind w:left="20"/>
              <w:spacing w:after="0" w:line="134"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60" w:type="dxa"/>
            <w:vAlign w:val="bottom"/>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14,884</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(62,365)</w:t>
            </w:r>
          </w:p>
        </w:tc>
        <w:tc>
          <w:tcPr>
            <w:tcW w:w="0" w:type="dxa"/>
            <w:vAlign w:val="bottom"/>
          </w:tcPr>
          <w:p>
            <w:pPr>
              <w:spacing w:after="0"/>
              <w:rPr>
                <w:sz w:val="1"/>
                <w:szCs w:val="1"/>
                <w:color w:val="auto"/>
              </w:rPr>
            </w:pPr>
          </w:p>
        </w:tc>
      </w:tr>
      <w:tr>
        <w:trPr>
          <w:trHeight w:val="161"/>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160,943</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18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561,193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(216,601)</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344,603</w:t>
            </w:r>
          </w:p>
        </w:tc>
        <w:tc>
          <w:tcPr>
            <w:tcW w:w="0" w:type="dxa"/>
            <w:vAlign w:val="bottom"/>
          </w:tcPr>
          <w:p>
            <w:pPr>
              <w:spacing w:after="0"/>
              <w:rPr>
                <w:sz w:val="1"/>
                <w:szCs w:val="1"/>
                <w:color w:val="auto"/>
              </w:rPr>
            </w:pPr>
          </w:p>
        </w:tc>
      </w:tr>
      <w:tr>
        <w:trPr>
          <w:trHeight w:val="142"/>
        </w:trPr>
        <w:tc>
          <w:tcPr>
            <w:tcW w:w="37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1,207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34"/>
        </w:trPr>
        <w:tc>
          <w:tcPr>
            <w:tcW w:w="3760" w:type="dxa"/>
            <w:vAlign w:val="bottom"/>
          </w:tcPr>
          <w:p>
            <w:pPr>
              <w:ind w:left="20"/>
              <w:spacing w:after="0" w:line="134" w:lineRule="exact"/>
              <w:rPr>
                <w:sz w:val="20"/>
                <w:szCs w:val="20"/>
                <w:color w:val="auto"/>
              </w:rPr>
            </w:pPr>
            <w:r>
              <w:rPr>
                <w:rFonts w:ascii="Arial" w:cs="Arial" w:eastAsia="Arial" w:hAnsi="Arial"/>
                <w:sz w:val="13"/>
                <w:szCs w:val="13"/>
                <w:color w:val="auto"/>
                <w:w w:val="98"/>
              </w:rPr>
              <w:t>Shares issued in May 2023 public offering, including underwriter's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60" w:type="dxa"/>
            <w:vAlign w:val="bottom"/>
          </w:tcPr>
          <w:p>
            <w:pPr>
              <w:ind w:left="180"/>
              <w:spacing w:after="0"/>
              <w:rPr>
                <w:sz w:val="20"/>
                <w:szCs w:val="20"/>
                <w:color w:val="auto"/>
              </w:rPr>
            </w:pPr>
            <w:r>
              <w:rPr>
                <w:rFonts w:ascii="Arial" w:cs="Arial" w:eastAsia="Arial" w:hAnsi="Arial"/>
                <w:sz w:val="13"/>
                <w:szCs w:val="13"/>
                <w:color w:val="auto"/>
              </w:rPr>
              <w:t>exercise of option to purchase shares, net of issuance costs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11,500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86,458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86,459</w:t>
            </w:r>
          </w:p>
        </w:tc>
        <w:tc>
          <w:tcPr>
            <w:tcW w:w="0" w:type="dxa"/>
            <w:vAlign w:val="bottom"/>
          </w:tcPr>
          <w:p>
            <w:pPr>
              <w:spacing w:after="0"/>
              <w:rPr>
                <w:sz w:val="1"/>
                <w:szCs w:val="1"/>
                <w:color w:val="auto"/>
              </w:rPr>
            </w:pPr>
          </w:p>
        </w:tc>
      </w:tr>
      <w:tr>
        <w:trPr>
          <w:trHeight w:val="142"/>
        </w:trPr>
        <w:tc>
          <w:tcPr>
            <w:tcW w:w="3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10,246</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(58,527)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(58,527)</w:t>
            </w:r>
          </w:p>
        </w:tc>
        <w:tc>
          <w:tcPr>
            <w:tcW w:w="0" w:type="dxa"/>
            <w:vAlign w:val="bottom"/>
          </w:tcPr>
          <w:p>
            <w:pPr>
              <w:spacing w:after="0"/>
              <w:rPr>
                <w:sz w:val="1"/>
                <w:szCs w:val="1"/>
                <w:color w:val="auto"/>
              </w:rPr>
            </w:pPr>
          </w:p>
        </w:tc>
      </w:tr>
      <w:tr>
        <w:trPr>
          <w:trHeight w:val="175"/>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173,650</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658,530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(275,128)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383,414</w:t>
            </w:r>
          </w:p>
        </w:tc>
        <w:tc>
          <w:tcPr>
            <w:tcW w:w="0" w:type="dxa"/>
            <w:vAlign w:val="bottom"/>
          </w:tcPr>
          <w:p>
            <w:pPr>
              <w:spacing w:after="0"/>
              <w:rPr>
                <w:sz w:val="1"/>
                <w:szCs w:val="1"/>
                <w:color w:val="auto"/>
              </w:rPr>
            </w:pPr>
          </w:p>
        </w:tc>
      </w:tr>
      <w:tr>
        <w:trPr>
          <w:trHeight w:val="134"/>
        </w:trPr>
        <w:tc>
          <w:tcPr>
            <w:tcW w:w="3760" w:type="dxa"/>
            <w:vAlign w:val="bottom"/>
          </w:tcPr>
          <w:p>
            <w:pPr>
              <w:ind w:left="20"/>
              <w:spacing w:after="0" w:line="134"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60" w:type="dxa"/>
            <w:vAlign w:val="bottom"/>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4,934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142"/>
        </w:trPr>
        <w:tc>
          <w:tcPr>
            <w:tcW w:w="37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10,239</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7,519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r>
        <w:trPr>
          <w:trHeight w:val="20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178,584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670,947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(267,609)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403,350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49"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3"/>
                <w:szCs w:val="13"/>
                <w:b w:val="1"/>
                <w:bCs w:val="1"/>
                <w:color w:val="auto"/>
                <w:w w:val="88"/>
              </w:rPr>
              <w:t>Stockholder's Equity (Deficit)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1580" w:type="dxa"/>
            <w:vAlign w:val="bottom"/>
            <w:gridSpan w:val="3"/>
            <w:vMerge w:val="restart"/>
          </w:tcPr>
          <w:p>
            <w:pPr>
              <w:jc w:val="right"/>
              <w:ind w:right="24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0"/>
                <w:szCs w:val="10"/>
                <w:b w:val="1"/>
                <w:bCs w:val="1"/>
                <w:color w:val="auto"/>
              </w:rPr>
              <w:t>paid in</w:t>
            </w:r>
          </w:p>
        </w:tc>
        <w:tc>
          <w:tcPr>
            <w:tcW w:w="96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94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comprehensive</w:t>
            </w:r>
          </w:p>
        </w:tc>
        <w:tc>
          <w:tcPr>
            <w:tcW w:w="94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Noncontrolling</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deficit</w:t>
            </w:r>
          </w:p>
        </w:tc>
        <w:tc>
          <w:tcPr>
            <w:tcW w:w="6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117,751</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294,190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(228,667)</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65,536</w:t>
            </w:r>
          </w:p>
        </w:tc>
        <w:tc>
          <w:tcPr>
            <w:tcW w:w="0" w:type="dxa"/>
            <w:vAlign w:val="bottom"/>
          </w:tcPr>
          <w:p>
            <w:pPr>
              <w:spacing w:after="0"/>
              <w:rPr>
                <w:sz w:val="1"/>
                <w:szCs w:val="1"/>
                <w:color w:val="auto"/>
              </w:rPr>
            </w:pPr>
          </w:p>
        </w:tc>
      </w:tr>
      <w:tr>
        <w:trPr>
          <w:trHeight w:val="122"/>
        </w:trPr>
        <w:tc>
          <w:tcPr>
            <w:tcW w:w="3760" w:type="dxa"/>
            <w:vAlign w:val="bottom"/>
          </w:tcPr>
          <w:p>
            <w:pPr>
              <w:ind w:left="20"/>
              <w:spacing w:after="0" w:line="122"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2,459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3,318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29,641</w:t>
            </w: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24,072</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3"/>
                <w:szCs w:val="13"/>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79,792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79,792</w:t>
            </w:r>
          </w:p>
        </w:tc>
        <w:tc>
          <w:tcPr>
            <w:tcW w:w="0" w:type="dxa"/>
            <w:vAlign w:val="bottom"/>
          </w:tcPr>
          <w:p>
            <w:pPr>
              <w:spacing w:after="0"/>
              <w:rPr>
                <w:sz w:val="1"/>
                <w:szCs w:val="1"/>
                <w:color w:val="auto"/>
              </w:rPr>
            </w:pPr>
          </w:p>
        </w:tc>
      </w:tr>
      <w:tr>
        <w:trPr>
          <w:trHeight w:val="161"/>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123,461</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15</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348,658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(148,875)</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199,736</w:t>
            </w: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2,515</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3"/>
                <w:szCs w:val="13"/>
                <w:color w:val="auto"/>
              </w:rPr>
              <w:t>Shares issued for business acquisition</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9,723</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33,837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33,837</w:t>
            </w:r>
          </w:p>
        </w:tc>
        <w:tc>
          <w:tcPr>
            <w:tcW w:w="0" w:type="dxa"/>
            <w:vAlign w:val="bottom"/>
          </w:tcPr>
          <w:p>
            <w:pPr>
              <w:spacing w:after="0"/>
              <w:rPr>
                <w:sz w:val="1"/>
                <w:szCs w:val="1"/>
                <w:color w:val="auto"/>
              </w:rPr>
            </w:pPr>
          </w:p>
        </w:tc>
      </w:tr>
      <w:tr>
        <w:trPr>
          <w:trHeight w:val="17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125,473</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361,963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(115,038)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246,879</w:t>
            </w:r>
          </w:p>
        </w:tc>
        <w:tc>
          <w:tcPr>
            <w:tcW w:w="0" w:type="dxa"/>
            <w:vAlign w:val="bottom"/>
          </w:tcPr>
          <w:p>
            <w:pPr>
              <w:spacing w:after="0"/>
              <w:rPr>
                <w:sz w:val="1"/>
                <w:szCs w:val="1"/>
                <w:color w:val="auto"/>
              </w:rPr>
            </w:pPr>
          </w:p>
        </w:tc>
      </w:tr>
      <w:tr>
        <w:trPr>
          <w:trHeight w:val="121"/>
        </w:trPr>
        <w:tc>
          <w:tcPr>
            <w:tcW w:w="3760" w:type="dxa"/>
            <w:vAlign w:val="bottom"/>
          </w:tcPr>
          <w:p>
            <w:pPr>
              <w:ind w:left="20"/>
              <w:spacing w:after="0" w:line="122" w:lineRule="exact"/>
              <w:rPr>
                <w:sz w:val="20"/>
                <w:szCs w:val="20"/>
                <w:color w:val="auto"/>
              </w:rPr>
            </w:pPr>
            <w:r>
              <w:rPr>
                <w:rFonts w:ascii="Arial" w:cs="Arial" w:eastAsia="Arial" w:hAnsi="Arial"/>
                <w:sz w:val="13"/>
                <w:szCs w:val="13"/>
                <w:color w:val="auto"/>
                <w:w w:val="88"/>
              </w:rPr>
              <w:t>Issuance of common stock under employee stock option and stock award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Arial" w:cs="Arial" w:eastAsia="Arial" w:hAnsi="Arial"/>
                <w:sz w:val="13"/>
                <w:szCs w:val="13"/>
                <w:color w:val="auto"/>
              </w:rPr>
              <w:t>plans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1,489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1,316</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for business acquisition</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24,883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146,312</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3"/>
                <w:szCs w:val="13"/>
                <w:color w:val="auto"/>
              </w:rPr>
              <w:t>Shares issued for transaction fees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Stock-based compensation expense related to employee and non-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14,722</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3"/>
                <w:szCs w:val="13"/>
                <w:color w:val="auto"/>
              </w:rPr>
              <w:t>Change in noncontrolling interest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4,655</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adjustment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(32,590)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(32,828)</w:t>
            </w:r>
          </w:p>
        </w:tc>
        <w:tc>
          <w:tcPr>
            <w:tcW w:w="0" w:type="dxa"/>
            <w:vAlign w:val="bottom"/>
          </w:tcPr>
          <w:p>
            <w:pPr>
              <w:spacing w:after="0"/>
              <w:rPr>
                <w:sz w:val="1"/>
                <w:szCs w:val="1"/>
                <w:color w:val="auto"/>
              </w:rPr>
            </w:pPr>
          </w:p>
        </w:tc>
      </w:tr>
      <w:tr>
        <w:trPr>
          <w:trHeight w:val="20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152,015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525,311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382,110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49" w:right="8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8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6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(113,373)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80,801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52,136</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(51,763)</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from change in fair value of earnout liability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(112,162)</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29"/>
        </w:trPr>
        <w:tc>
          <w:tcPr>
            <w:tcW w:w="864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8640" w:type="dxa"/>
            <w:vAlign w:val="bottom"/>
          </w:tcPr>
          <w:p>
            <w:pPr>
              <w:ind w:left="680"/>
              <w:spacing w:after="0"/>
              <w:rPr>
                <w:sz w:val="20"/>
                <w:szCs w:val="20"/>
                <w:color w:val="auto"/>
              </w:rPr>
            </w:pPr>
            <w:r>
              <w:rPr>
                <w:rFonts w:ascii="Arial" w:cs="Arial" w:eastAsia="Arial" w:hAnsi="Arial"/>
                <w:sz w:val="18"/>
                <w:szCs w:val="18"/>
                <w:color w:val="auto"/>
              </w:rPr>
              <w:t>Accounts payable, accrued compensation and deferred revenue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liability</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(35,537)</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Investment purchases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Business acquisitions, net of cash acquired</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(96,355)</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Investment in Joint Venture</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preferred stock</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Receipts on notes receivable</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(106,447)</w:t>
            </w: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Redemption of warrants</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in connection stock option exercises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May 2023 public offering</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Payment of May 2023 public offering costs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8640" w:type="dxa"/>
            <w:vAlign w:val="bottom"/>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(143,460)</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268,252</w:t>
            </w: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124,792</w:t>
            </w:r>
          </w:p>
        </w:tc>
        <w:tc>
          <w:tcPr>
            <w:tcW w:w="0" w:type="dxa"/>
            <w:vAlign w:val="bottom"/>
          </w:tcPr>
          <w:p>
            <w:pPr>
              <w:spacing w:after="0"/>
              <w:rPr>
                <w:sz w:val="1"/>
                <w:szCs w:val="1"/>
                <w:color w:val="auto"/>
              </w:rPr>
            </w:pPr>
          </w:p>
        </w:tc>
      </w:tr>
      <w:tr>
        <w:trPr>
          <w:trHeight w:val="74"/>
        </w:trPr>
        <w:tc>
          <w:tcPr>
            <w:tcW w:w="8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Net assets acquired through change in control of joint venture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338"/>
        </w:trPr>
        <w:tc>
          <w:tcPr>
            <w:tcW w:w="864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in connection with buyout agreement (see Note 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Shares issued for business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147,380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160"/>
          </w:cols>
          <w:pgMar w:left="320" w:top="449" w:right="41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879"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Navitas Semiconductor Corporation (“the Company”) designs, develops and markets next-generation power semiconductors including gallium nitride (“GaN”) power integrated circuits (“ICs”), silicon carbide (“SiC”)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Korea and the Philippines, with principal executive offices in Torrance, California.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2023 Public Offering</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In June 2022, the Company acquired VDDTECH srl, a Belgian private company, for approximately $1.9 million in cash and stock, and in August 2022 the Company acquired GeneSiC for approximately $246.2 million in cash and stock. See Note 17, Business Combinations, for more information.</w:t>
      </w:r>
    </w:p>
    <w:p>
      <w:pPr>
        <w:spacing w:after="0" w:line="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18, Noncontrolling Interest,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are in the opinion of management, necessary for a fair presentation of such condensed consolidated financial statements. Operating results for the three and nine months ended September 30, 2023, are not necessarily indicative of results to be expected for the full year ending December 31, 2023.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 for the fiscal year ended December 31, 2022, filed with the SEC on April 3, 2023. Except as further described below, there have been no significant changes in the Company’s accounting policies from those disclosed in its Form 10-K filed with the SEC on April 3, 2023.</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of the financial statements and the reported amounts of revenues and expenses during the reporting periods.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AND RECENT ACCOUNTING PRONOUNCEMENTS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36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account for business combinations using the acquisition method of accounting, in accordance with Accounting Standards Codification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acquisition method requires identifiable assets acquired and liabilities assumed to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may record adjustments to the fair values of assets acquired and liabilities assumed within the measurement period (up to one year from the acquisition date) with the corresponding offset to goodwill.</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 costs associated with business combinations are expensed as they are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Contingent Consideration Resulting from a Business Combination</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certain acquisitions, we may 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Condensed Consolidated Statements of Operations until such time as the specified milestone achievement period is complete.</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may differ from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In June 2016, the Financial Accounting Standards Board (“FASB”) amended guidance related to impairment of financial instruments as part of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which replaced the incurred loss impairment methodology with an 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companies that qualify under the emerging growth company exemptions, this ASU is effective for fiscal years beginning after December 15, 2022, with early adoption permitted, and is effective for the Company beginning in 2023. The adoption of this guidance did not have a material impact on the Company’s consolidated financial statements and related disclosures.</w:t>
      </w:r>
    </w:p>
    <w:p>
      <w:pPr>
        <w:spacing w:after="0" w:line="6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pool financial assets based on their risk characteristics, which include class of customer, geographic location of the customer, contractual life of the financial asset, and age of the open receivable balance. The allowance for credit losses pool is estimated based on historical credit loss rates adjusted for management’s reasonable and supportable expectations of future economic conditions, which consider macroeconomic, industry and market trends that could impact future credit loss rates. Additions to the allowance are charged to general and administrative expenses in the consolidated statements of operations. Accounts receivables are written off against the allowance when the probability of collection of an account balance is deemed remote.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4,776</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8,767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15,904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39"/>
        </w:trPr>
        <w:tc>
          <w:tcPr>
            <w:tcW w:w="65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Computers and other equipment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For the three and nine months ended September 30, 2023, depreciation expense was $0.6 million and $1.6 million, respectively. For the three and nine months ended September 30, 2022, depreciation expense was $0.3 million and $0.6 million, respectively, and was determined using the straight-line method over the following estimated useful lives: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820" w:type="dxa"/>
            <w:vAlign w:val="bottom"/>
            <w:shd w:val="clear" w:color="auto" w:fill="CCEEFF"/>
          </w:tcPr>
          <w:p>
            <w:pPr>
              <w:ind w:left="3920"/>
              <w:spacing w:after="0"/>
              <w:rPr>
                <w:sz w:val="20"/>
                <w:szCs w:val="20"/>
                <w:color w:val="auto"/>
              </w:rPr>
            </w:pPr>
            <w:r>
              <w:rPr>
                <w:rFonts w:ascii="Arial" w:cs="Arial" w:eastAsia="Arial" w:hAnsi="Arial"/>
                <w:sz w:val="18"/>
                <w:szCs w:val="18"/>
                <w:color w:val="auto"/>
                <w:w w:val="90"/>
              </w:rPr>
              <w:t>3 — 7 years</w:t>
            </w:r>
          </w:p>
        </w:tc>
      </w:tr>
      <w:tr>
        <w:trPr>
          <w:trHeight w:val="270"/>
        </w:trPr>
        <w:tc>
          <w:tcPr>
            <w:tcW w:w="6260" w:type="dxa"/>
            <w:vAlign w:val="bottom"/>
          </w:tcPr>
          <w:p>
            <w:pPr>
              <w:ind w:left="20"/>
              <w:spacing w:after="0"/>
              <w:rPr>
                <w:sz w:val="20"/>
                <w:szCs w:val="20"/>
                <w:color w:val="auto"/>
              </w:rPr>
            </w:pPr>
            <w:r>
              <w:rPr>
                <w:rFonts w:ascii="Arial" w:cs="Arial" w:eastAsia="Arial" w:hAnsi="Arial"/>
                <w:sz w:val="18"/>
                <w:szCs w:val="18"/>
                <w:color w:val="auto"/>
              </w:rPr>
              <w:t>Computers and other equipment</w:t>
            </w:r>
          </w:p>
        </w:tc>
        <w:tc>
          <w:tcPr>
            <w:tcW w:w="4820" w:type="dxa"/>
            <w:vAlign w:val="bottom"/>
          </w:tcPr>
          <w:p>
            <w:pPr>
              <w:ind w:left="3920"/>
              <w:spacing w:after="0"/>
              <w:rPr>
                <w:sz w:val="20"/>
                <w:szCs w:val="20"/>
                <w:color w:val="auto"/>
              </w:rPr>
            </w:pPr>
            <w:r>
              <w:rPr>
                <w:rFonts w:ascii="Arial" w:cs="Arial" w:eastAsia="Arial" w:hAnsi="Arial"/>
                <w:sz w:val="18"/>
                <w:szCs w:val="18"/>
                <w:color w:val="auto"/>
                <w:w w:val="90"/>
              </w:rPr>
              <w:t>2 — 5 years</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820" w:type="dxa"/>
            <w:vAlign w:val="bottom"/>
            <w:shd w:val="clear" w:color="auto" w:fill="CCEEFF"/>
          </w:tcPr>
          <w:p>
            <w:pPr>
              <w:ind w:left="3920"/>
              <w:spacing w:after="0"/>
              <w:rPr>
                <w:sz w:val="20"/>
                <w:szCs w:val="20"/>
                <w:color w:val="auto"/>
              </w:rPr>
            </w:pPr>
            <w:r>
              <w:rPr>
                <w:rFonts w:ascii="Arial" w:cs="Arial" w:eastAsia="Arial" w:hAnsi="Arial"/>
                <w:sz w:val="18"/>
                <w:szCs w:val="18"/>
                <w:color w:val="auto"/>
                <w:w w:val="90"/>
              </w:rPr>
              <w:t>2 — 5 years</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$159.5 million and not material as of September 30, 2023 and December 31, 2022, respectively.</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gridSpan w:val="10"/>
          </w:tcPr>
          <w:p>
            <w:pPr>
              <w:ind w:left="500"/>
              <w:spacing w:after="0"/>
              <w:rPr>
                <w:sz w:val="20"/>
                <w:szCs w:val="20"/>
                <w:color w:val="auto"/>
              </w:rPr>
            </w:pPr>
            <w:r>
              <w:rPr>
                <w:rFonts w:ascii="Arial" w:cs="Arial" w:eastAsia="Arial" w:hAnsi="Arial"/>
                <w:sz w:val="18"/>
                <w:szCs w:val="18"/>
                <w:color w:val="auto"/>
                <w:w w:val="92"/>
              </w:rPr>
              <w:t>The following table presents the Company’s fair value hierarchy for financial liabilities as of September 30, 2023 (in thousands):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5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4"/>
                <w:szCs w:val="24"/>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38,567</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38,567</w:t>
            </w:r>
          </w:p>
        </w:tc>
      </w:tr>
      <w:tr>
        <w:trPr>
          <w:trHeight w:val="270"/>
        </w:trPr>
        <w:tc>
          <w:tcPr>
            <w:tcW w:w="53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38,567</w:t>
            </w:r>
          </w:p>
        </w:tc>
      </w:tr>
      <w:tr>
        <w:trPr>
          <w:trHeight w:val="20"/>
        </w:trPr>
        <w:tc>
          <w:tcPr>
            <w:tcW w:w="53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20"/>
        </w:trPr>
        <w:tc>
          <w:tcPr>
            <w:tcW w:w="9860" w:type="dxa"/>
            <w:vAlign w:val="bottom"/>
            <w:gridSpan w:val="10"/>
          </w:tcPr>
          <w:p>
            <w:pPr>
              <w:ind w:left="500"/>
              <w:spacing w:after="0"/>
              <w:rPr>
                <w:sz w:val="20"/>
                <w:szCs w:val="20"/>
                <w:color w:val="auto"/>
              </w:rPr>
            </w:pPr>
            <w:r>
              <w:rPr>
                <w:rFonts w:ascii="Arial" w:cs="Arial" w:eastAsia="Arial" w:hAnsi="Arial"/>
                <w:sz w:val="18"/>
                <w:szCs w:val="18"/>
                <w:color w:val="auto"/>
                <w:w w:val="92"/>
              </w:rPr>
              <w:t>The following table presents the Company’s fair value hierarchy for financial liabilities as of December 31, 2022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9"/>
        </w:trPr>
        <w:tc>
          <w:tcPr>
            <w:tcW w:w="5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4"/>
                <w:szCs w:val="24"/>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13,064</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13,064</w:t>
            </w:r>
          </w:p>
        </w:tc>
      </w:tr>
      <w:tr>
        <w:trPr>
          <w:trHeight w:val="270"/>
        </w:trPr>
        <w:tc>
          <w:tcPr>
            <w:tcW w:w="5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13,064</w:t>
            </w:r>
          </w:p>
        </w:tc>
      </w:tr>
      <w:tr>
        <w:trPr>
          <w:trHeight w:val="21"/>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Fair Value Measurements Using Significant</w:t>
            </w:r>
          </w:p>
        </w:tc>
      </w:tr>
      <w:tr>
        <w:trPr>
          <w:trHeight w:val="234"/>
        </w:trPr>
        <w:tc>
          <w:tcPr>
            <w:tcW w:w="7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Unobservable Inputs</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w:t>
            </w:r>
          </w:p>
        </w:tc>
        <w:tc>
          <w:tcPr>
            <w:tcW w:w="1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25,503</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did not transfer any investments between Level 1 and Level 2 of the fair value hierarchy during the three and nine months ended September 30,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36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1040" w:type="dxa"/>
            <w:vAlign w:val="bottom"/>
          </w:tcPr>
          <w:p>
            <w:pPr>
              <w:spacing w:after="0"/>
              <w:rPr>
                <w:sz w:val="24"/>
                <w:szCs w:val="24"/>
                <w:color w:val="auto"/>
              </w:rPr>
            </w:pPr>
          </w:p>
        </w:tc>
        <w:tc>
          <w:tcPr>
            <w:tcW w:w="6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Goodwill</w:t>
            </w:r>
          </w:p>
        </w:tc>
      </w:tr>
      <w:tr>
        <w:trPr>
          <w:trHeight w:val="223"/>
        </w:trPr>
        <w:tc>
          <w:tcPr>
            <w:tcW w:w="104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161,527</w:t>
            </w:r>
          </w:p>
        </w:tc>
      </w:tr>
      <w:tr>
        <w:trPr>
          <w:trHeight w:val="229"/>
        </w:trPr>
        <w:tc>
          <w:tcPr>
            <w:tcW w:w="1040" w:type="dxa"/>
            <w:vAlign w:val="bottom"/>
          </w:tcPr>
          <w:p>
            <w:pPr>
              <w:spacing w:after="0"/>
              <w:rPr>
                <w:sz w:val="19"/>
                <w:szCs w:val="19"/>
                <w:color w:val="auto"/>
              </w:rPr>
            </w:pPr>
          </w:p>
        </w:tc>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price adjustment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r>
      <w:tr>
        <w:trPr>
          <w:trHeight w:val="248"/>
        </w:trPr>
        <w:tc>
          <w:tcPr>
            <w:tcW w:w="10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163,215</w:t>
            </w:r>
          </w:p>
        </w:tc>
      </w:tr>
      <w:tr>
        <w:trPr>
          <w:trHeight w:val="20"/>
        </w:trPr>
        <w:tc>
          <w:tcPr>
            <w:tcW w:w="104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Business Combinations, for further details.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intangible asset balance by asset class as of September 30, 2023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Intangible Asset</w:t>
            </w:r>
          </w:p>
        </w:tc>
        <w:tc>
          <w:tcPr>
            <w:tcW w:w="34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Net Book Value</w:t>
            </w:r>
          </w:p>
        </w:tc>
        <w:tc>
          <w:tcPr>
            <w:tcW w:w="10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Amortization Method</w:t>
            </w:r>
          </w:p>
        </w:tc>
        <w:tc>
          <w:tcPr>
            <w:tcW w:w="14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39,141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4-10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In-process R&amp;D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Indefinite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Patents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32,141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Company’s intangible asset balance (in thousands):</w:t>
      </w:r>
    </w:p>
    <w:p>
      <w:pPr>
        <w:spacing w:after="0" w:line="28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32385</wp:posOffset>
            </wp:positionV>
            <wp:extent cx="4894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94580" cy="15430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6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Balance at December 31, 2022</w:t>
      </w:r>
    </w:p>
    <w:p>
      <w:pPr>
        <w:spacing w:after="0" w:line="4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Additions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21590</wp:posOffset>
            </wp:positionV>
            <wp:extent cx="4894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94580" cy="14541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Amortization expense</w:t>
      </w:r>
    </w:p>
    <w:p>
      <w:pPr>
        <w:spacing w:after="0" w:line="6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Balance at September 30,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105,620</w:t>
            </w:r>
          </w:p>
        </w:tc>
      </w:tr>
      <w:tr>
        <w:trPr>
          <w:trHeight w:val="230"/>
        </w:trPr>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4,602</w:t>
            </w:r>
          </w:p>
        </w:tc>
      </w:tr>
      <w:tr>
        <w:trPr>
          <w:trHeight w:val="230"/>
        </w:trPr>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w:t>
            </w:r>
          </w:p>
        </w:tc>
      </w:tr>
      <w:tr>
        <w:trPr>
          <w:trHeight w:val="223"/>
        </w:trPr>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96,176</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920"/>
          </w:cols>
          <w:pgMar w:left="320" w:top="449" w:right="339" w:bottom="1440" w:gutter="0" w:footer="0" w:header="0"/>
          <w:type w:val="continuous"/>
        </w:sectPr>
      </w:pPr>
    </w:p>
    <w:p>
      <w:pPr>
        <w:spacing w:after="0" w:line="12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amortization expense was $4.8 million and $14.0 million for the three and nine months ended September 30, 2023, respectively. The amortization expense was $2.2 million and $2.4 million for the three and nine months ended September 30, 2022,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impairment charges during the three months ended September 30, 2023 and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April 29, 2020, the Company entered into a loan and security agreement with a new bank (the “Term Loan”), which provided for term advances up to $8.0 million. As of September 30, 2023, this loan had been paid in full.</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execution of the Term Loan, the Company issued warrants to the bank (see Note 10, Warrant Liability). The fair value of the warrants at the date of issuance was not material and was recorded as debt discount, subject to amortization using the effective interest rate method over the term of the loan. All warrants were no longer outstanding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by December 31, 2022, and amortization of debt discount and issuance costs was not significant any of the three or nine months ended September 30, 2023 or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0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has entered into operating leases primarily for commercial buildings. These leases have terms which range from 0.1 to 5.2 years. As of September 30, 2023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September 30, 2023 all leases recorded on the Company’s consolidated balance sheets were operating leases.</w:t>
      </w:r>
    </w:p>
    <w:p>
      <w:pPr>
        <w:spacing w:after="0" w:line="4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Upon adoption of ASC 842 on January 1, 2022, the Company recorded operating lease assets of $1.6 million and lease liabilities of $1.7 million in the Company’s consolidated balance sheets. The adoption of this standard did not have a material impact on retained earnings, the consolidated statements of operations, or cash flows. 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Rent expense, including short-term lease cost, was $0.5 million and $1.5 million for the three and nine months ended September 30, 2023, respectively. Rent expense, including short term lease cost, was $0.7 million and $1.4 million for the three and nine months ended September 30, 2022,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not material for the three and nine months ended September 30, 2023 and 2022.</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 right-of-use assets and related operating lease liabilities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7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39"/>
        </w:trPr>
        <w:tc>
          <w:tcPr>
            <w:tcW w:w="74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67"/>
        </w:trPr>
        <w:tc>
          <w:tcPr>
            <w:tcW w:w="74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3"/>
                <w:szCs w:val="23"/>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right-of-use assets obtained in exchange for new operating lease obligations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70"/>
        </w:trPr>
        <w:tc>
          <w:tcPr>
            <w:tcW w:w="746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420" w:type="dxa"/>
            <w:vAlign w:val="bottom"/>
          </w:tcPr>
          <w:p>
            <w:pPr>
              <w:spacing w:after="0"/>
              <w:rPr>
                <w:sz w:val="23"/>
                <w:szCs w:val="2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4.64 years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 years</w:t>
            </w:r>
          </w:p>
        </w:tc>
      </w:tr>
      <w:tr>
        <w:trPr>
          <w:trHeight w:val="27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Weight-average discount rate</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- 8.25%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- 5.50%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Maturities of lease liabilities are as follows (in thousands):</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fiscal year 2023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Fiscal year 2024</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2025</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Fiscal year 2026</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2027</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BASED COMPENSATION: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terms of the 2020 Plan, the Company is authorized to issue 18,899,285 shares of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8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September 30, 2023 the Company has issued 9,750,000 non-statutory stock options under the 2021 Plan.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service period of the award, which may be explicit or derived, unless market or performance conditions result in a graded attribution.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stock-based compensation expense recognized for the three and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79" w:lineRule="exact"/>
        <w:rPr>
          <w:sz w:val="20"/>
          <w:szCs w:val="20"/>
          <w:color w:val="auto"/>
        </w:rPr>
      </w:pPr>
    </w:p>
    <w:tbl>
      <w:tblPr>
        <w:tblLayout w:type="fixed"/>
        <w:tblInd w:w="92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4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40"/>
        </w:trPr>
        <w:tc>
          <w:tcPr>
            <w:tcW w:w="34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3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15,758</w:t>
            </w:r>
          </w:p>
        </w:tc>
      </w:tr>
      <w:tr>
        <w:trPr>
          <w:trHeight w:val="25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36,378</w:t>
            </w: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52,136</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incentive stock options and non-statutory stock options issued was estimated using the Black-Scholes model. The Company did not grant any stock option awards during the three or nine months ended September 30, 2023 or 2022.</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summary of stock options outstanding, excluding LTIP Options as of September 30, 2023, and activity during the nine months then ended,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2"/>
          </w:tcPr>
          <w:p>
            <w:pPr>
              <w:jc w:val="center"/>
              <w:ind w:right="480"/>
              <w:spacing w:after="0" w:line="189" w:lineRule="exact"/>
              <w:rPr>
                <w:sz w:val="20"/>
                <w:szCs w:val="20"/>
                <w:color w:val="auto"/>
              </w:rPr>
            </w:pPr>
            <w:r>
              <w:rPr>
                <w:rFonts w:ascii="Arial" w:cs="Arial" w:eastAsia="Arial" w:hAnsi="Arial"/>
                <w:sz w:val="18"/>
                <w:szCs w:val="18"/>
                <w:b w:val="1"/>
                <w:bCs w:val="1"/>
                <w:color w:val="auto"/>
                <w:w w:val="89"/>
              </w:rPr>
              <w:t>Weighted-</w:t>
            </w: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15"/>
                <w:szCs w:val="15"/>
                <w:color w:val="auto"/>
              </w:rPr>
            </w:pPr>
          </w:p>
        </w:tc>
        <w:tc>
          <w:tcPr>
            <w:tcW w:w="182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87"/>
              </w:rPr>
              <w:t>Average</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2"/>
          </w:tcPr>
          <w:p>
            <w:pPr>
              <w:jc w:val="center"/>
              <w:ind w:right="500"/>
              <w:spacing w:after="0" w:line="176" w:lineRule="exact"/>
              <w:rPr>
                <w:sz w:val="20"/>
                <w:szCs w:val="20"/>
                <w:color w:val="auto"/>
              </w:rPr>
            </w:pPr>
            <w:r>
              <w:rPr>
                <w:rFonts w:ascii="Arial" w:cs="Arial" w:eastAsia="Arial" w:hAnsi="Arial"/>
                <w:sz w:val="18"/>
                <w:szCs w:val="18"/>
                <w:b w:val="1"/>
                <w:bCs w:val="1"/>
                <w:color w:val="auto"/>
                <w:w w:val="86"/>
              </w:rPr>
              <w:t>Exercise</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Stock Options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400" w:type="dxa"/>
            <w:vAlign w:val="bottom"/>
          </w:tcPr>
          <w:p>
            <w:pPr>
              <w:spacing w:after="0"/>
              <w:rPr>
                <w:sz w:val="21"/>
                <w:szCs w:val="21"/>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4"/>
              </w:rPr>
              <w:t>(In years)</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ind w:left="1750"/>
              <w:spacing w:after="0"/>
              <w:rPr>
                <w:sz w:val="20"/>
                <w:szCs w:val="20"/>
                <w:color w:val="auto"/>
              </w:rPr>
            </w:pPr>
            <w:r>
              <w:rPr>
                <w:rFonts w:ascii="Arial" w:cs="Arial" w:eastAsia="Arial" w:hAnsi="Arial"/>
                <w:sz w:val="18"/>
                <w:szCs w:val="18"/>
                <w:color w:val="auto"/>
                <w:w w:val="91"/>
              </w:rPr>
              <w:t>6.20</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140" w:type="dxa"/>
            <w:vAlign w:val="bottom"/>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200" w:type="dxa"/>
            <w:vAlign w:val="bottom"/>
          </w:tcPr>
          <w:p>
            <w:pPr>
              <w:jc w:val="center"/>
              <w:ind w:left="17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17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Outstanding at September 30, 2023</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2200" w:type="dxa"/>
            <w:vAlign w:val="bottom"/>
          </w:tcPr>
          <w:p>
            <w:pPr>
              <w:jc w:val="center"/>
              <w:ind w:left="1750"/>
              <w:spacing w:after="0"/>
              <w:rPr>
                <w:sz w:val="20"/>
                <w:szCs w:val="20"/>
                <w:color w:val="auto"/>
              </w:rPr>
            </w:pPr>
            <w:r>
              <w:rPr>
                <w:rFonts w:ascii="Arial" w:cs="Arial" w:eastAsia="Arial" w:hAnsi="Arial"/>
                <w:sz w:val="18"/>
                <w:szCs w:val="18"/>
                <w:color w:val="auto"/>
                <w:w w:val="91"/>
              </w:rPr>
              <w:t>6.03</w:t>
            </w:r>
          </w:p>
        </w:tc>
        <w:tc>
          <w:tcPr>
            <w:tcW w:w="0" w:type="dxa"/>
            <w:vAlign w:val="bottom"/>
          </w:tcPr>
          <w:p>
            <w:pPr>
              <w:spacing w:after="0"/>
              <w:rPr>
                <w:sz w:val="1"/>
                <w:szCs w:val="1"/>
                <w:color w:val="auto"/>
              </w:rPr>
            </w:pPr>
          </w:p>
        </w:tc>
      </w:tr>
      <w:tr>
        <w:trPr>
          <w:trHeight w:val="45"/>
        </w:trPr>
        <w:tc>
          <w:tcPr>
            <w:tcW w:w="460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Vested and Exercisable at September 30, 2023</w:t>
            </w:r>
          </w:p>
        </w:tc>
        <w:tc>
          <w:tcPr>
            <w:tcW w:w="2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2,269</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0.66</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jc w:val="center"/>
              <w:ind w:left="1750"/>
              <w:spacing w:after="0" w:line="203" w:lineRule="exact"/>
              <w:rPr>
                <w:sz w:val="20"/>
                <w:szCs w:val="20"/>
                <w:color w:val="auto"/>
              </w:rPr>
            </w:pPr>
            <w:r>
              <w:rPr>
                <w:rFonts w:ascii="Arial" w:cs="Arial" w:eastAsia="Arial" w:hAnsi="Arial"/>
                <w:sz w:val="18"/>
                <w:szCs w:val="18"/>
                <w:color w:val="auto"/>
                <w:w w:val="91"/>
              </w:rPr>
              <w:t>5.77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both the three and nine months ended September 30, 2023, the Company recognized $0.1 million and $0.4 million of stock-based compensation expense for the vesting of outstanding stock options, excluding $1.8 million and $6.1 million related to the LTIP Options described below. During the three and nine months ended September 30, 2022, the Company recognized $0.1 million and $0.4 million of stock-based compensation expense for the vesting of outstanding stock options, excluding $1.4 million related to LTIP options described below. At September 30, 2023, unrecognized compensation cost related to unvested awards totaled $0.2 million. The weighted-average period over which this remaining compensation cost will be recognized is 0.7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Stock Options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awarded a total of 6,500,000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$8.13 based on the Black-Scholes model and a Monte Carlo simulation incorporating 500,000 scenarios. The weighted average contractual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period remaining is 8.3 years. The Company utilized the services of a professional valuation firm to finalize these assumptions during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The valuation model utilized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Risk-free interest rates</w:t>
            </w:r>
          </w:p>
        </w:tc>
        <w:tc>
          <w:tcPr>
            <w:tcW w:w="3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Expected volatility rates</w:t>
            </w:r>
          </w:p>
        </w:tc>
        <w:tc>
          <w:tcPr>
            <w:tcW w:w="3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dividend yield</w:t>
            </w:r>
          </w:p>
        </w:tc>
        <w:tc>
          <w:tcPr>
            <w:tcW w:w="3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Cost of equity (for derived service period)</w:t>
            </w:r>
          </w:p>
        </w:tc>
        <w:tc>
          <w:tcPr>
            <w:tcW w:w="3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9.96 %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grant date fair value of options</w:t>
            </w:r>
          </w:p>
        </w:tc>
        <w:tc>
          <w:tcPr>
            <w:tcW w:w="34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connection with LTIP Options granted in 2021, the Company recognized $1.6 million and $5.3 million of stock-based compensation expense for the three and nine months ended September 30, 2023, respectively. The Company recognized $1.4 million and $4.2 million related to these LTIP Options during the three and nine months ended September 30, 2022, respectively. The unrecognized compensation expense related to these LTIP Options is $48.5 million as of September 30, 2023, and compensation expense will be recognized over 2.7 years.</w:t>
      </w:r>
    </w:p>
    <w:p>
      <w:pPr>
        <w:spacing w:after="0" w:line="6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awarded a total of 3,250,000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$2.51. The weighted average contractual period</w:t>
      </w:r>
    </w:p>
    <w:p>
      <w:pPr>
        <w:spacing w:after="0" w:line="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remaining is 8.9 years. T</w:t>
      </w:r>
      <w:r>
        <w:rPr>
          <w:rFonts w:ascii="Arial" w:cs="Arial" w:eastAsia="Arial" w:hAnsi="Arial"/>
          <w:sz w:val="21"/>
          <w:szCs w:val="21"/>
          <w:color w:val="auto"/>
        </w:rPr>
        <w:t>he</w:t>
      </w:r>
      <w:r>
        <w:rPr>
          <w:rFonts w:ascii="Arial" w:cs="Arial" w:eastAsia="Arial" w:hAnsi="Arial"/>
          <w:sz w:val="18"/>
          <w:szCs w:val="18"/>
          <w:color w:val="auto"/>
        </w:rPr>
        <w:t xml:space="preserve"> Black-Scholes model and a Monte Carlo simulation incorporated 100,000 scenarios. The valuation model utilized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Risk-free interest rates</w:t>
            </w:r>
          </w:p>
        </w:tc>
        <w:tc>
          <w:tcPr>
            <w:tcW w:w="3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Expected volatility rates</w:t>
            </w:r>
          </w:p>
        </w:tc>
        <w:tc>
          <w:tcPr>
            <w:tcW w:w="3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dividend yield</w:t>
            </w:r>
          </w:p>
        </w:tc>
        <w:tc>
          <w:tcPr>
            <w:tcW w:w="3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Cost of equity (for derived service period)</w:t>
            </w:r>
          </w:p>
        </w:tc>
        <w:tc>
          <w:tcPr>
            <w:tcW w:w="3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14.64 %</w:t>
            </w:r>
          </w:p>
        </w:tc>
      </w:t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grant date fair value of options</w:t>
            </w:r>
          </w:p>
        </w:tc>
        <w:tc>
          <w:tcPr>
            <w:tcW w:w="3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LTIP Options granted in 2022, the Company recognized $0.3 million and $0.8 million of stock-based compensation expense for the three and nine months ended September 30, 2023, respectively. The Company recognized $0.1 million related to these LTIP Options during the three and nine months ended September 30, 2022. The unrecognized compensation expense related to the LTIP Options is $8.2 million as of September 30, 2023, and compensation expense will be recognized over 3.3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regularly grants RSUs to employees as a component of their compensation. A summary of RSUs outstanding as of September 30, 2023, and activity during the nine months then ended,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360" w:type="dxa"/>
            <w:vAlign w:val="bottom"/>
          </w:tcPr>
          <w:p>
            <w:pPr>
              <w:jc w:val="center"/>
              <w:ind w:left="710"/>
              <w:spacing w:after="0"/>
              <w:rPr>
                <w:sz w:val="20"/>
                <w:szCs w:val="20"/>
                <w:color w:val="auto"/>
              </w:rPr>
            </w:pPr>
            <w:r>
              <w:rPr>
                <w:rFonts w:ascii="Arial" w:cs="Arial" w:eastAsia="Arial" w:hAnsi="Arial"/>
                <w:sz w:val="18"/>
                <w:szCs w:val="18"/>
                <w:b w:val="1"/>
                <w:bCs w:val="1"/>
                <w:color w:val="auto"/>
                <w:w w:val="86"/>
              </w:rPr>
              <w:t>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Weighted-Average Grant Date Fair</w:t>
            </w:r>
          </w:p>
        </w:tc>
      </w:tr>
      <w:tr>
        <w:trPr>
          <w:trHeight w:val="239"/>
        </w:trPr>
        <w:tc>
          <w:tcPr>
            <w:tcW w:w="462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0"/>
              </w:rPr>
              <w:t>(In thousands)</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Value Per Share</w:t>
            </w: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9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6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698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2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three and nine months ended September 30, 2023, the Company recognized $8.1 million and $23.5 million of stock-based compensation expense for the vesting of RSUs, respectively. During the three and nine months ended September 30, 2022, the Company recognized $8.7 million and $32.4 million of stock-based compensation expense for the vesting of RSUs, respectively. As of September 30, 2023, unrecognized compensation cost related to unvested RSU awards totaled $77.4 million. The weighted-average period over which this remaining compensation cost is expected be recognized is 2.7 years.</w:t>
      </w:r>
    </w:p>
    <w:p>
      <w:pPr>
        <w:spacing w:after="0" w:line="8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implemented a yearly stock-based bonus plan in 2021 which settles by issuing a variable number of fully-vested restricted stock units to employees in the first quarter of the following fiscal year. The $5.7 million accrued as of September 30, 2023 reflects eligible employees included the Company’s 2023 annual bonus plan and amounts expected to be settled during the first quarter of 2024. The $2.8 million accrued as of December 31, 2022 was for the Company’s 2022 annual bonus plan and a balance of $0.1 million is accrued as of September 30,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Awards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acquisition of the remaining minority interest of a silicon control IC joint venture, as described in Note 18, the Company issued 841,729 fully vested shares to certain former employees of the joint venture with a grant date fair value totaling $4.5 million. Such amount has been recognized as stock-based compensation expense during the nine months ended September 30, 2023.</w:t>
      </w:r>
    </w:p>
    <w:p>
      <w:pPr>
        <w:spacing w:after="0" w:line="2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The Company recognized $0.1 million and $0.7 million of stock-based compensation expense related to the vesting of these shares during the three and nine months ended September 30, 2023,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Earnout Shares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portion of the earnout shares related to the Business Combination (discussed in Note 11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three and nine months ended September 30, 2023 the Company recognized $0.0 million and $0.3 million, respectively, of stock-based compensation expense for the vesting of earnout shares. As of the beginning of the second quarter of fiscal year 2023, these earnout shares had fully vested. At September 30, 2023, there was no remaining compensation cost related to unvested earnout shares. During the three and nine months ended September 30, 2022, the Company recognized $4.3 million and $11.5 million, respectively, of stock-based compensation expense for the vesting of earnout shares. Refer to Note 11, Earnout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0A0A0A"/>
          <w:highlight w:val="white"/>
        </w:rPr>
        <w:t xml:space="preserve">On February 4, 2022, the Company issued a notice of redemption that it would redeem, at 5:00 p.m. New York City time on March 7, 2022 (the “Redemption </w:t>
      </w:r>
      <w:r>
        <w:rPr>
          <w:rFonts w:ascii="Arial" w:cs="Arial" w:eastAsia="Arial" w:hAnsi="Arial"/>
          <w:sz w:val="16"/>
          <w:szCs w:val="16"/>
          <w:color w:val="0A0A0A"/>
        </w:rPr>
        <w:t>Date”),</w:t>
      </w:r>
      <w:r>
        <w:rPr>
          <w:rFonts w:ascii="Arial" w:cs="Arial" w:eastAsia="Arial" w:hAnsi="Arial"/>
          <w:sz w:val="16"/>
          <w:szCs w:val="16"/>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Arial" w:cs="Arial" w:eastAsia="Arial" w:hAnsi="Arial"/>
          <w:sz w:val="16"/>
          <w:szCs w:val="16"/>
          <w:color w:val="0A0A0A"/>
        </w:rPr>
        <w:t>Warrant Agreement”),</w:t>
      </w:r>
      <w:r>
        <w:rPr>
          <w:rFonts w:ascii="Arial" w:cs="Arial" w:eastAsia="Arial" w:hAnsi="Arial"/>
          <w:sz w:val="16"/>
          <w:szCs w:val="16"/>
          <w:color w:val="0A0A0A"/>
          <w:highlight w:val="white"/>
        </w:rPr>
        <w:t xml:space="preserve"> between the Company and Continental Stock Transfer &amp; Trust Company, as warrant agent (the “Warrant Agent”), at a redemption price of $0.10 per Warrant (the “</w:t>
      </w:r>
      <w:r>
        <w:rPr>
          <w:rFonts w:ascii="Arial" w:cs="Arial" w:eastAsia="Arial" w:hAnsi="Arial"/>
          <w:sz w:val="16"/>
          <w:szCs w:val="16"/>
          <w:color w:val="0A0A0A"/>
        </w:rPr>
        <w:t>Redemption</w:t>
      </w:r>
      <w:r>
        <w:rPr>
          <w:rFonts w:ascii="Arial" w:cs="Arial" w:eastAsia="Arial" w:hAnsi="Arial"/>
          <w:sz w:val="16"/>
          <w:szCs w:val="16"/>
          <w:color w:val="0A0A0A"/>
          <w:highlight w:val="white"/>
        </w:rPr>
        <w:t xml:space="preserve"> </w:t>
      </w:r>
      <w:r>
        <w:rPr>
          <w:rFonts w:ascii="Arial" w:cs="Arial" w:eastAsia="Arial" w:hAnsi="Arial"/>
          <w:sz w:val="16"/>
          <w:szCs w:val="16"/>
          <w:color w:val="0A0A0A"/>
        </w:rPr>
        <w:t>Price”)</w:t>
      </w:r>
      <w:r>
        <w:rPr>
          <w:rFonts w:ascii="Arial" w:cs="Arial" w:eastAsia="Arial" w:hAnsi="Arial"/>
          <w:sz w:val="16"/>
          <w:szCs w:val="16"/>
          <w:color w:val="0A0A0A"/>
          <w:highlight w:val="white"/>
        </w:rPr>
        <w:t>. On February 22, 2022, the Company issued a notice that the “Redemption Fair Market Value,” determined in accordance with the Warrant</w:t>
      </w:r>
      <w:r>
        <w:rPr>
          <w:rFonts w:ascii="Arial" w:cs="Arial" w:eastAsia="Arial" w:hAnsi="Arial"/>
          <w:sz w:val="16"/>
          <w:szCs w:val="16"/>
          <w:color w:val="0A0A0A"/>
        </w:rPr>
        <w:t xml:space="preserve"> </w:t>
      </w:r>
      <w:r>
        <w:rPr>
          <w:rFonts w:ascii="Arial" w:cs="Arial" w:eastAsia="Arial" w:hAnsi="Arial"/>
          <w:sz w:val="16"/>
          <w:szCs w:val="16"/>
          <w:color w:val="0A0A0A"/>
          <w:highlight w:val="white"/>
        </w:rPr>
        <w:t xml:space="preserve">Agreement based on the </w:t>
      </w:r>
      <w:r>
        <w:rPr>
          <w:rFonts w:ascii="Arial" w:cs="Arial" w:eastAsia="Arial" w:hAnsi="Arial"/>
          <w:sz w:val="16"/>
          <w:szCs w:val="16"/>
          <w:color w:val="000000"/>
        </w:rPr>
        <w:t>volume weighted average price of the Common Stock for the 10 trading days immediately following the date on which notice of</w:t>
      </w:r>
      <w:r>
        <w:rPr>
          <w:rFonts w:ascii="Arial" w:cs="Arial" w:eastAsia="Arial" w:hAnsi="Arial"/>
          <w:sz w:val="16"/>
          <w:szCs w:val="16"/>
          <w:color w:val="0A0A0A"/>
          <w:highlight w:val="white"/>
        </w:rPr>
        <w:t xml:space="preserve"> </w:t>
      </w:r>
      <w:r>
        <w:rPr>
          <w:rFonts w:ascii="Arial" w:cs="Arial" w:eastAsia="Arial" w:hAnsi="Arial"/>
          <w:sz w:val="16"/>
          <w:szCs w:val="16"/>
          <w:color w:val="000000"/>
        </w:rPr>
        <w:t xml:space="preserve">redemption was sent, was </w:t>
      </w:r>
      <w:r>
        <w:rPr>
          <w:rFonts w:ascii="Arial" w:cs="Arial" w:eastAsia="Arial" w:hAnsi="Arial"/>
          <w:sz w:val="16"/>
          <w:szCs w:val="16"/>
          <w:color w:val="0A0A0A"/>
          <w:highlight w:val="white"/>
        </w:rPr>
        <w:t>$10.33 and, accordingly, that holders exercising Warrants on a “cashless” basis before the Redemption Date would receive 0.261</w:t>
      </w:r>
      <w:r>
        <w:rPr>
          <w:rFonts w:ascii="Arial" w:cs="Arial" w:eastAsia="Arial" w:hAnsi="Arial"/>
          <w:sz w:val="16"/>
          <w:szCs w:val="16"/>
          <w:color w:val="000000"/>
        </w:rPr>
        <w:t xml:space="preserve"> </w:t>
      </w:r>
      <w:r>
        <w:rPr>
          <w:rFonts w:ascii="Arial" w:cs="Arial" w:eastAsia="Arial" w:hAnsi="Arial"/>
          <w:sz w:val="16"/>
          <w:szCs w:val="16"/>
          <w:color w:val="0A0A0A"/>
          <w:highlight w:val="white"/>
        </w:rPr>
        <w:t>shares of Common Stock per Warrant exercised. The Warrants were exercisable by their holders until immediately before 5:00 p.m. New York City time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0A0A0A"/>
          <w:highlight w:val="white"/>
        </w:rPr>
        <w:t xml:space="preserve">on the Redemption Date, either (i) on a cash basis, at an exercise price of $11.50 per share of Common Stock, or (ii) on a “cashless” basis in which the exercising holder would receive 0.261 shares of Common Stock per Warrant exercised. </w:t>
      </w:r>
      <w:r>
        <w:rPr>
          <w:rFonts w:ascii="Arial" w:cs="Arial" w:eastAsia="Arial" w:hAnsi="Arial"/>
          <w:sz w:val="17"/>
          <w:szCs w:val="17"/>
          <w:color w:val="000000"/>
        </w:rPr>
        <w:t>Between December 7, 2021 (the date the Warrants became</w:t>
      </w:r>
      <w:r>
        <w:rPr>
          <w:rFonts w:ascii="Arial" w:cs="Arial" w:eastAsia="Arial" w:hAnsi="Arial"/>
          <w:sz w:val="17"/>
          <w:szCs w:val="17"/>
          <w:color w:val="0A0A0A"/>
          <w:highlight w:val="white"/>
        </w:rPr>
        <w:t xml:space="preserve"> </w:t>
      </w:r>
      <w:r>
        <w:rPr>
          <w:rFonts w:ascii="Arial" w:cs="Arial" w:eastAsia="Arial" w:hAnsi="Arial"/>
          <w:sz w:val="17"/>
          <w:szCs w:val="17"/>
          <w:color w:val="000000"/>
        </w:rPr>
        <w:t>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$81.4 million which resulted in a gain of $51.8 million due to the decrease in the fair value of the warrant liability in the nine months ended September 30, 2022. There were no outstanding warrants as of September 30, 2023. See footnote 10, Warrant Liability to the Company’s consolidated financial statements and notes thereto contained in the Company’s annual report on Form 10-K for the fiscal year ended December 31, 2022, filed with the SEC on April 3, 2023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EARNOUT LIABILITY</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Certain of the Company’s stockholders are entitled to receive up to 10,000,000 aggregate “earnout shares” of the Company’s Class A Common Stock if earnout milestones are met. The earnout milestones represent three independent criteria, each of which entitles the eligible stockholders to 3,333,333 aggregate earn-out shares if the milestone is met. See footnote 11, Earnout Liability to the Company’s consolidated financial statements and notes thereto contained in the Company’s annual report on Form 10-K for the fiscal year ended December 31, 2022, filed with the SEC on April 3, 2023 for further details.</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earnout liability is remeasured at the end of each reporting period. The change in fair value of the earnout liability is recorded as part of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(expense), net </w:t>
      </w:r>
      <w:r>
        <w:rPr>
          <w:rFonts w:ascii="Arial" w:cs="Arial" w:eastAsia="Arial" w:hAnsi="Arial"/>
          <w:sz w:val="18"/>
          <w:szCs w:val="18"/>
          <w:color w:val="auto"/>
        </w:rPr>
        <w:t>in the consolidated statements of operations.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560" w:type="dxa"/>
            <w:vAlign w:val="bottom"/>
            <w:gridSpan w:val="2"/>
          </w:tcPr>
          <w:p>
            <w:pPr>
              <w:ind w:left="480"/>
              <w:spacing w:after="0"/>
              <w:rPr>
                <w:sz w:val="20"/>
                <w:szCs w:val="20"/>
                <w:color w:val="auto"/>
              </w:rPr>
            </w:pPr>
            <w:r>
              <w:rPr>
                <w:rFonts w:ascii="Arial" w:cs="Arial" w:eastAsia="Arial" w:hAnsi="Arial"/>
                <w:sz w:val="18"/>
                <w:szCs w:val="18"/>
                <w:b w:val="1"/>
                <w:bCs w:val="1"/>
                <w:color w:val="auto"/>
              </w:rPr>
              <w:t>September 30, 2023</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 2022</w:t>
            </w:r>
          </w:p>
        </w:tc>
      </w:tr>
      <w:tr>
        <w:trPr>
          <w:trHeight w:val="25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4.79 %</w:t>
            </w:r>
          </w:p>
        </w:tc>
        <w:tc>
          <w:tcPr>
            <w:tcW w:w="100" w:type="dxa"/>
            <w:vAlign w:val="bottom"/>
            <w:tcBorders>
              <w:top w:val="single" w:sz="8" w:color="CCEEFF"/>
            </w:tcBorders>
            <w:shd w:val="clear" w:color="auto" w:fill="CCEEFF"/>
          </w:tcPr>
          <w:p>
            <w:pPr>
              <w:spacing w:after="0"/>
              <w:rPr>
                <w:sz w:val="21"/>
                <w:szCs w:val="21"/>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color w:val="auto"/>
              </w:rPr>
              <w:t>Equity volatility rate</w:t>
            </w:r>
          </w:p>
        </w:tc>
        <w:tc>
          <w:tcPr>
            <w:tcW w:w="2460" w:type="dxa"/>
            <w:vAlign w:val="bottom"/>
          </w:tcPr>
          <w:p>
            <w:pPr>
              <w:jc w:val="right"/>
              <w:spacing w:after="0"/>
              <w:rPr>
                <w:sz w:val="20"/>
                <w:szCs w:val="20"/>
                <w:color w:val="auto"/>
              </w:rPr>
            </w:pPr>
            <w:r>
              <w:rPr>
                <w:rFonts w:ascii="Arial" w:cs="Arial" w:eastAsia="Arial" w:hAnsi="Arial"/>
                <w:sz w:val="18"/>
                <w:szCs w:val="18"/>
                <w:color w:val="auto"/>
              </w:rPr>
              <w:t>70.00 %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65.00 %</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and December 31, 2022, the earnout liability had a fair value of $38.6 million and $12.5 million, respectively which resulted in a gain in the fair value of the earnout liability of $34.5 million and a loss in the fair value of the earnout liability of $25.5 million for the three and nine months ended September 30, 2023, respectively, due to the fluctuations in the fair value of the earnout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GeneSiC Earnout Liability</w:t>
      </w:r>
    </w:p>
    <w:p>
      <w:pPr>
        <w:spacing w:after="0" w:line="2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connection with the acquisition of GeneSiC as discussed in Note 17, the Company will pay additional contingent consideration of up to $25.0 million, in the form of cash earnout payments to the Sellers and certain employees of GeneSiC, conditioned on the achievement of substantial revenue and gross profit margin targets for the 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Brownian motion over the earnout period. The valuation model utilized an assumption on the risk-free interest rate of 3.1% and equity volatility rate of 99.9%. As of September 30, 2023, the GeneSiC earnout was not achieved, and no liability was recorded in earnout liability in the Company’s Condensed Consolidated Balance Sheets.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CUSTOMERS AND CREDIT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customers represented 10% or more of the Company’s net revenues for the three and nine months ended September 30, 2023 and 2022: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060" w:type="dxa"/>
            <w:vAlign w:val="bottom"/>
            <w:gridSpan w:val="4"/>
          </w:tcPr>
          <w:p>
            <w:pPr>
              <w:ind w:left="580"/>
              <w:spacing w:after="0"/>
              <w:rPr>
                <w:sz w:val="20"/>
                <w:szCs w:val="20"/>
                <w:color w:val="auto"/>
              </w:rPr>
            </w:pPr>
            <w:r>
              <w:rPr>
                <w:rFonts w:ascii="Arial" w:cs="Arial" w:eastAsia="Arial" w:hAnsi="Arial"/>
                <w:sz w:val="18"/>
                <w:szCs w:val="18"/>
                <w:b w:val="1"/>
                <w:bCs w:val="1"/>
                <w:color w:val="auto"/>
              </w:rPr>
              <w:t>Three Months Ended September 30,</w:t>
            </w:r>
          </w:p>
        </w:tc>
        <w:tc>
          <w:tcPr>
            <w:tcW w:w="39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Customer</w:t>
            </w: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Distributor D</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net revenues were less than 10% of total net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considers the domicile of its end customers, rather than the distributors it sells to directly, to be the basis for attributing revenues from external customers to individual countries. Revenues for the three and nine months ended September 30, 2023 and 2022 were attributable to end customers in the following countries or regions: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Country</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0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Rest of Asia</w:t>
            </w:r>
          </w:p>
        </w:tc>
        <w:tc>
          <w:tcPr>
            <w:tcW w:w="12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w:t>
            </w:r>
          </w:p>
        </w:tc>
        <w:tc>
          <w:tcPr>
            <w:tcW w:w="126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1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*Impractical to disclose the revenue percentages by individual countries within Europe and therefore Europe is presented in total.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w w:val="94"/>
              </w:rPr>
              <w:t>The following customers represented 10% or more of the Company’s accounts receivable.</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Customer</w:t>
            </w:r>
          </w:p>
        </w:tc>
        <w:tc>
          <w:tcPr>
            <w:tcW w:w="224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2023</w:t>
            </w: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Distributor B</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accounts receivable was less than 10% of total net accounts receivable.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Supplier Risk</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5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63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3"/>
        </w:trPr>
        <w:tc>
          <w:tcPr>
            <w:tcW w:w="6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175,103</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165,719</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127,390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other dilutive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r>
      <w:tr>
        <w:trPr>
          <w:trHeight w:val="237"/>
        </w:trPr>
        <w:tc>
          <w:tcPr>
            <w:tcW w:w="6320" w:type="dxa"/>
            <w:vAlign w:val="bottom"/>
          </w:tcPr>
          <w:p>
            <w:pPr>
              <w:ind w:left="360"/>
              <w:spacing w:after="0"/>
              <w:rPr>
                <w:sz w:val="20"/>
                <w:szCs w:val="20"/>
                <w:color w:val="auto"/>
              </w:rPr>
            </w:pPr>
            <w:r>
              <w:rPr>
                <w:rFonts w:ascii="Arial" w:cs="Arial" w:eastAsia="Arial" w:hAnsi="Arial"/>
                <w:sz w:val="18"/>
                <w:szCs w:val="18"/>
                <w:color w:val="auto"/>
              </w:rPr>
              <w:t>Weighted-average common shares - diluted common stock</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185,626</w:t>
            </w: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165,719</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140,134</w:t>
            </w:r>
          </w:p>
        </w:tc>
      </w:tr>
      <w:tr>
        <w:trPr>
          <w:trHeight w:val="27"/>
        </w:trPr>
        <w:tc>
          <w:tcPr>
            <w:tcW w:w="6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 xml:space="preserve">Shares excluded from diluted weighted-average shares: </w:t>
            </w:r>
            <w:r>
              <w:rPr>
                <w:rFonts w:ascii="Arial" w:cs="Arial" w:eastAsia="Arial" w:hAnsi="Arial"/>
                <w:sz w:val="18"/>
                <w:szCs w:val="18"/>
                <w:color w:val="auto"/>
              </w:rPr>
              <w:t>(1)</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Earnout shares (potentially issuable common shares)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Unvested restricted stock units and restricted stock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6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 options potentially exercisable for common shares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37"/>
        </w:trPr>
        <w:tc>
          <w:tcPr>
            <w:tcW w:w="6320" w:type="dxa"/>
            <w:vAlign w:val="bottom"/>
          </w:tcPr>
          <w:p>
            <w:pPr>
              <w:ind w:left="360"/>
              <w:spacing w:after="0"/>
              <w:rPr>
                <w:sz w:val="20"/>
                <w:szCs w:val="20"/>
                <w:color w:val="auto"/>
              </w:rPr>
            </w:pPr>
            <w:r>
              <w:rPr>
                <w:rFonts w:ascii="Arial" w:cs="Arial" w:eastAsia="Arial" w:hAnsi="Arial"/>
                <w:sz w:val="18"/>
                <w:szCs w:val="18"/>
                <w:color w:val="auto"/>
              </w:rPr>
              <w:t>Shares excluded from diluted weighted average shares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w:t>
            </w: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30,745</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19,975</w:t>
            </w:r>
          </w:p>
        </w:tc>
      </w:tr>
      <w:tr>
        <w:trPr>
          <w:trHeight w:val="27"/>
        </w:trPr>
        <w:tc>
          <w:tcPr>
            <w:tcW w:w="6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6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340" w:hanging="332"/>
        <w:spacing w:after="0" w:line="263"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potentially dilutive securities, which include unexercised stock options, unvested shares, and earnout shares, have been excluded from the computation of diluted net loss per share as the effect would be to reduce the net loss per share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PROVISION FOR INCOME TAXES</w:t>
      </w:r>
    </w:p>
    <w:p>
      <w:pPr>
        <w:spacing w:after="0" w:line="243" w:lineRule="exact"/>
        <w:rPr>
          <w:sz w:val="20"/>
          <w:szCs w:val="20"/>
          <w:color w:val="auto"/>
        </w:rPr>
      </w:pPr>
    </w:p>
    <w:p>
      <w:pPr>
        <w:ind w:firstLine="486"/>
        <w:spacing w:after="0" w:line="229" w:lineRule="auto"/>
        <w:rPr>
          <w:sz w:val="20"/>
          <w:szCs w:val="20"/>
          <w:color w:val="auto"/>
        </w:rPr>
      </w:pPr>
      <w:r>
        <w:rPr>
          <w:rFonts w:ascii="Arial" w:cs="Arial" w:eastAsia="Arial" w:hAnsi="Arial"/>
          <w:sz w:val="18"/>
          <w:szCs w:val="18"/>
          <w:color w:val="auto"/>
        </w:rPr>
        <w:t>The Company determined the income tax provision for interim periods using an estimate of the Company’s annual effective tax rate, adjusted for discrete items arising during the quarter. The Company’s effective tax rate for the three and nine months ended September 30, 2023 was 0.3% and 0.0%, respectively. The Company’s effective tax rate for the three and nine months ended September 30, 2022 was 23.6% and (13.9)%, respectively. The effective tax rate for 2023 differs from the prior year primarily as a result of tax expense in foreign jurisdictions that are in a full valuation allowance as the effective tax rate as of September 30, 2022 is reflective of a full valuation allowance in all jurisdictions.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our stock-based compensation, and the effects of its foreign entities.</w:t>
      </w:r>
    </w:p>
    <w:p>
      <w:pPr>
        <w:spacing w:after="0" w:line="20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 had no unrecognized tax benefits for the nine months ended September 30, 2023 and 2022. The Company recognizes interest and penalties related to unrecognized tax benefits in operating expenses. No such interest and penalties were recognized during the nine months ended September 30, 2023 and 2022.</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September 30, 2023, the Company had no non-cancelable contractual arrangements that were due beyond one year besides lease obligations.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in the event of the termination of their employment for reasons other than cause, death or disability. Aggregate payments that would be required to be made in the event of termination under the agreements are approximately $2.1 million. At September 30, 2023, no terminations have occurred or are expected to occur pursuant to these arrangements and, accordingly, no termination benefits have been accrued.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September 30, 2023.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had outstanding interest-bearing notes receivable from a non-executive employee. The notes had various maturity dates through May 1, 2023 and bore interest at rates ranging from 1% to 2.76%. As of December 31, 2022, Note 1 was forgiven for a loss of $0.1 million and Note 2 was paid off in the amount of $0.1 million. No interest income was recognized for the three and nine months ended September 30, 2023, and interest income recognized for the three and nine months ended September 30, 2022 was not 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insignificant handling fees, in exchange for a minority interest, with the right to acquire the balance of the joint venture based on the future results of the venture (among other rights and obligations). On January 19, 2023, the Company announced an agreement to acquire the remaining minority interest in the joint venture as well as rights to certain intellectual property from Halo and its U.S. affiliate for a total purchase price of $22.4 million in Navitas stock. Total related party revenues recognized by the Company as a result of arrangements with its joint venture were $0.0 million for both the three and nine months ended September 30, 2023, and $0.0 million and $0.7 million for the three and nine months ended September 30, 2022, respectively, and are included in Net Revenues in the Condensed Consolidated Statements of Operations. See Note 18, Noncontrolling Interest,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Investment</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During the third quarter of 2022, Navitas made a $1.5 million investment in preferred interests of an entity under common control with the Company’s partner in the joint venture described above. During the first quarter of 2023 the Company made an additional investment of $1.0 million in the entity. Such investment is included in Other Assets in the Condensed Consolidated Balance Sheets as of September 30, 2023 and is accounted for as an equity investment under </w:t>
      </w:r>
      <w:r>
        <w:rPr>
          <w:rFonts w:ascii="Arial" w:cs="Arial" w:eastAsia="Arial" w:hAnsi="Arial"/>
          <w:sz w:val="18"/>
          <w:szCs w:val="18"/>
          <w:i w:val="1"/>
          <w:iCs w:val="1"/>
          <w:color w:val="auto"/>
        </w:rPr>
        <w:t>ASC 321 Investments - Equity Securities</w:t>
      </w:r>
      <w:r>
        <w:rPr>
          <w:rFonts w:ascii="Arial" w:cs="Arial" w:eastAsia="Arial" w:hAnsi="Arial"/>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Advance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third quarter of 2022, Navitas made a $1.0 million advance to its partner in the joint venture described above in order to facilitate orders of raw materials. The outstanding amount as of September 30, 2023 was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Leases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leases certain property from an entity that it is owned by an executive of the Company, which expires in September 2023. During the three and nine months ended September 30, 2023, the Company paid an immaterial amount in rental payments in relation to this lease. These payments were made at standard market rates in the ordinary course of business.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leases certain property from the family member of a senior executive of the Company, which expires in March 2024. During the three and nine months ended September 30, 2023, the Company paid an immaterial amount in rental payments in relation to this lease. These payments were made at standard market rates in the ordinary course of business. The total rent obligation as of September 30, 2023 was $21 thousand through March 31, 2024.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COMBINATIONS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 srl</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Condensed Consolidated Balance Sheets and Condensed Consolidated Statements of Operations.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recorded an allocation of the purchase price to tangible assets acquired and liabilities assumed based on their fair values as of the acquisition date. The excess of the purchase price over the fair value of tangible assets and liabilities of $1.2 million was recorded as goodwill as of June 30, 2022. Subsequent to June 30, 2022, a valuation of the intangible assets acquired was calculated at $1.2 million. During the third quarter of fiscal year 2022, the Company reclassified the goodwill to an intangible asset.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GeneSiC Semiconductor Inc.</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15, 2022, the Company entered into an Agreement and Plan of Merger (the “Merger Agreement”) to acquire 100% of the outstanding shares of GeneSiC Semiconductor Inc., a silicon carbide (“SiC”) pioneer with deep expertise in SiC power device design and process, based in Dulles, Virginia. Total merger consideration was approximately $244.0 million and consisted of approximately $146.3 million of common stock, $97.1 million of cash consideration, and potential future cash earn-out payments of up to an aggregate of $25.0 million which were fair valued at $0.6 million. The acquisition was accounted for as a business combination in accordance with ASC 805, Business Combinations. The Company has determined fair values of the assets acquired and liabilities assumed.</w:t>
      </w:r>
    </w:p>
    <w:p>
      <w:pPr>
        <w:spacing w:after="0" w:line="20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following tables summarize the purchase consideration and the purchase price allocation to estimated fair values of the identifiable assets acquired and liabilities assumed (in thousands) at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600" w:type="dxa"/>
            <w:vAlign w:val="bottom"/>
          </w:tcPr>
          <w:p>
            <w:pPr>
              <w:spacing w:after="0"/>
              <w:rPr>
                <w:sz w:val="20"/>
                <w:szCs w:val="20"/>
                <w:color w:val="auto"/>
              </w:rPr>
            </w:pPr>
          </w:p>
        </w:tc>
        <w:tc>
          <w:tcPr>
            <w:tcW w:w="2400" w:type="dxa"/>
            <w:vAlign w:val="bottom"/>
          </w:tcPr>
          <w:p>
            <w:pPr>
              <w:jc w:val="right"/>
              <w:ind w:right="10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consideration at closing</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97,116</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Equity consideration at closing</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146,314</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earn-out</w:t>
            </w:r>
          </w:p>
        </w:tc>
        <w:tc>
          <w:tcPr>
            <w:tcW w:w="60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244,030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Estimate of purchase price allocation</w:t>
            </w:r>
          </w:p>
        </w:tc>
        <w:tc>
          <w:tcPr>
            <w:tcW w:w="6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157,699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assumed:</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bearing debt</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 acquired</w:t>
            </w:r>
          </w:p>
        </w:tc>
        <w:tc>
          <w:tcPr>
            <w:tcW w:w="6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244,030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Goodwill represents the excess of the merger price over the amounts assigned to the fair value of the assets acquired and the liabilities assumed. Goodwill is primarily attributable to assembled workforce, market and expansion capabilities, expected synergies from integration and streamlining operational activities and other factors. Goodwill is not expected to be deductible for income tax purposes.</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price adjustment as of June 30, 2023, resulting in an increase to goodwill and accounts payable and other accrued expenses of $1.7 million.</w:t>
      </w: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values of the identifiable intangible assets acquired at the date of Acquisition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Amortization</w:t>
            </w:r>
          </w:p>
        </w:tc>
        <w:tc>
          <w:tcPr>
            <w:tcW w:w="1700" w:type="dxa"/>
            <w:vAlign w:val="bottom"/>
          </w:tcPr>
          <w:p>
            <w:pPr>
              <w:spacing w:after="0"/>
              <w:rPr>
                <w:sz w:val="17"/>
                <w:szCs w:val="17"/>
                <w:color w:val="auto"/>
              </w:rPr>
            </w:pPr>
          </w:p>
        </w:tc>
      </w:tr>
      <w:tr>
        <w:trPr>
          <w:trHeight w:val="243"/>
        </w:trPr>
        <w:tc>
          <w:tcPr>
            <w:tcW w:w="5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Intangible Asset</w:t>
            </w:r>
          </w:p>
        </w:tc>
        <w:tc>
          <w:tcPr>
            <w:tcW w:w="500" w:type="dxa"/>
            <w:vAlign w:val="bottom"/>
          </w:tcPr>
          <w:p>
            <w:pPr>
              <w:spacing w:after="0"/>
              <w:rPr>
                <w:sz w:val="21"/>
                <w:szCs w:val="21"/>
                <w:color w:val="auto"/>
              </w:rPr>
            </w:pPr>
          </w:p>
        </w:tc>
        <w:tc>
          <w:tcPr>
            <w:tcW w:w="2120" w:type="dxa"/>
            <w:vAlign w:val="bottom"/>
          </w:tcPr>
          <w:p>
            <w:pPr>
              <w:jc w:val="right"/>
              <w:ind w:right="8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c>
          <w:tcPr>
            <w:tcW w:w="1800" w:type="dxa"/>
            <w:vAlign w:val="bottom"/>
            <w:gridSpan w:val="2"/>
          </w:tcPr>
          <w:p>
            <w:pPr>
              <w:ind w:left="560"/>
              <w:spacing w:after="0"/>
              <w:rPr>
                <w:sz w:val="20"/>
                <w:szCs w:val="20"/>
                <w:color w:val="auto"/>
              </w:rPr>
            </w:pPr>
            <w:r>
              <w:rPr>
                <w:rFonts w:ascii="Arial" w:cs="Arial" w:eastAsia="Arial" w:hAnsi="Arial"/>
                <w:sz w:val="18"/>
                <w:szCs w:val="18"/>
                <w:b w:val="1"/>
                <w:bCs w:val="1"/>
                <w:color w:val="auto"/>
              </w:rPr>
              <w:t>Method</w:t>
            </w:r>
          </w:p>
        </w:tc>
        <w:tc>
          <w:tcPr>
            <w:tcW w:w="1700" w:type="dxa"/>
            <w:vAlign w:val="bottom"/>
          </w:tcPr>
          <w:p>
            <w:pPr>
              <w:ind w:left="42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 years</w:t>
            </w: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5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tcPr>
          <w:p>
            <w:pPr>
              <w:ind w:left="20"/>
              <w:spacing w:after="0"/>
              <w:rPr>
                <w:sz w:val="20"/>
                <w:szCs w:val="20"/>
                <w:color w:val="auto"/>
              </w:rPr>
            </w:pPr>
            <w:r>
              <w:rPr>
                <w:rFonts w:ascii="Arial" w:cs="Arial" w:eastAsia="Arial" w:hAnsi="Arial"/>
                <w:sz w:val="18"/>
                <w:szCs w:val="18"/>
                <w:color w:val="auto"/>
              </w:rPr>
              <w:t>4 years</w:t>
            </w: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5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3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tcPr>
          <w:p>
            <w:pPr>
              <w:ind w:left="20"/>
              <w:spacing w:after="0"/>
              <w:rPr>
                <w:sz w:val="20"/>
                <w:szCs w:val="20"/>
                <w:color w:val="auto"/>
              </w:rPr>
            </w:pPr>
            <w:r>
              <w:rPr>
                <w:rFonts w:ascii="Arial" w:cs="Arial" w:eastAsia="Arial" w:hAnsi="Arial"/>
                <w:sz w:val="18"/>
                <w:szCs w:val="18"/>
                <w:color w:val="auto"/>
              </w:rPr>
              <w:t>10 years</w:t>
            </w: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5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Intangibles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The valuations of intangible assets incorporate significant unobservable inputs and require significant judgment and estimates, including the amount and timing of future cash flows. The Company recognized approximately $5.9 million of transaction costs in the fiscal year ended December 31, 2022. These costs were recorded in “Selling, general and administrative expense” in the consolidated statements of operations. The financial results of GeneSiC have been included in the Company's consolidated financial statements since the date of the acquisition.</w:t>
      </w:r>
    </w:p>
    <w:p>
      <w:pPr>
        <w:spacing w:after="0" w:line="198"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spacing w:after="0" w:line="79"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The fair value of customer relationships was estimated using the distributor method, an income level approach (Level 3), which estimates the value of an asset based upon costs avoided through ownership of the asset. Estimated costs on projected revenues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w:t>
      </w:r>
    </w:p>
    <w:p>
      <w:pPr>
        <w:spacing w:after="0" w:line="4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fair value of the trade name and trademarks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1% to determine the fair value.</w:t>
      </w:r>
    </w:p>
    <w:p>
      <w:pPr>
        <w:spacing w:after="0" w:line="7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fair value of the patents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5% to determine the fair value.</w:t>
      </w:r>
    </w:p>
    <w:p>
      <w:pPr>
        <w:spacing w:after="0" w:line="79"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Based on this method we estimated a discount rate of 16% to determine the fair value.</w:t>
      </w:r>
    </w:p>
    <w:p>
      <w:pPr>
        <w:spacing w:after="0" w:line="5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 comparable business combinations and adjusting accordingly after taking into account circumstances that may be unique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20"/>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GeneSiC. Net tangible assets and intangibles assets assumed as well as goodwill recognized are presented as continuing operations in the consolidated balance sheets.</w:t>
      </w:r>
    </w:p>
    <w:p>
      <w:pPr>
        <w:spacing w:after="0" w:line="62"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969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96901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8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5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14"/>
                <w:szCs w:val="14"/>
                <w:color w:val="auto"/>
              </w:rPr>
            </w:pPr>
          </w:p>
        </w:tc>
      </w:tr>
      <w:tr>
        <w:trPr>
          <w:trHeight w:val="192"/>
        </w:trPr>
        <w:tc>
          <w:tcPr>
            <w:tcW w:w="48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September 30, 2022</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 2022</w:t>
            </w:r>
          </w:p>
        </w:tc>
        <w:tc>
          <w:tcPr>
            <w:tcW w:w="20" w:type="dxa"/>
            <w:vAlign w:val="bottom"/>
            <w:tcBorders>
              <w:bottom w:val="single" w:sz="8" w:color="auto"/>
            </w:tcBorders>
          </w:tcPr>
          <w:p>
            <w:pPr>
              <w:spacing w:after="0"/>
              <w:rPr>
                <w:sz w:val="16"/>
                <w:szCs w:val="16"/>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11,070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20" w:type="dxa"/>
            <w:vAlign w:val="bottom"/>
          </w:tcPr>
          <w:p>
            <w:pPr>
              <w:spacing w:after="0"/>
              <w:rPr>
                <w:sz w:val="19"/>
                <w:szCs w:val="19"/>
                <w:color w:val="auto"/>
              </w:rPr>
            </w:pPr>
          </w:p>
        </w:tc>
      </w:tr>
      <w:tr>
        <w:trPr>
          <w:trHeight w:val="229"/>
        </w:trPr>
        <w:tc>
          <w:tcPr>
            <w:tcW w:w="48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(38,479)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77,877</w:t>
            </w:r>
          </w:p>
        </w:tc>
        <w:tc>
          <w:tcPr>
            <w:tcW w:w="20" w:type="dxa"/>
            <w:vAlign w:val="bottom"/>
          </w:tcPr>
          <w:p>
            <w:pPr>
              <w:spacing w:after="0"/>
              <w:rPr>
                <w:sz w:val="19"/>
                <w:szCs w:val="19"/>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9"/>
                <w:szCs w:val="19"/>
                <w:color w:val="auto"/>
              </w:rPr>
            </w:pPr>
          </w:p>
        </w:tc>
      </w:tr>
      <w:tr>
        <w:trPr>
          <w:trHeight w:val="230"/>
        </w:trPr>
        <w:tc>
          <w:tcPr>
            <w:tcW w:w="488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The unaudited pro forma financial information may not be indicative of the results of operations that the Company would have attained had the business combination occurred as of January 1, 2022, nor is the pro forma financial information indicative of the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NONCONTROLLING INTEREST</w:t>
      </w:r>
    </w:p>
    <w:p>
      <w:pPr>
        <w:spacing w:after="0" w:line="3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July 2021, the Company formed a joint venture for the purpose of conducting research and development on technology in the area of AC/DC converters for chargers and adapters. Refer to Note 16 above.</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January 19, 2023, the Company announced an agreement to acquire the remaining minority interest in the joint venture as well as rights to certain intellectual property from Halo and its U.S. affiliate for a total purchase price of $22.4 million in Navitas stock. The transaction was completed on February 13, 2023. In connection with the purchase of intellectual property, the Company recognized developed technology as an intangible asset at its estimated fair value of $4.4 million.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evaluated material subsequent events from the consolidated balance sheet date of September 30, 2023, through November 9, 2023, the date the condensed consolidated financial statements were issued. There were no material subsequent events as of November 9,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Founded in 2013, Navitas is a U.S. based developer of gallium nitride and silicon carbide power semiconductor devices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and the Philippines, with principal executive offices in Torrance, California.</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nine months ended September 30, 2023 and 2022, we spent approximately 95% and 134%, respectively, of our revenue on research and development. Navitas’ research and development activities are located primarily in the US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2023 Public Offering</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Buyout of Elevation Semiconductor</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GeneSiC</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August 15, 2022, the Company entered into an Agreement and Plan of Merger (the “Merger Agreement”) to acquire 100% of the outstanding shares of GeneSiC Semiconductor Inc. (“GeneSiC”) for $146.3 million of equity, $97.1 million of cash consideration, and potential future earn-out payments of up to an aggregate of $25.0 million in cash. GeneSiC is a silicon carbide (“SiC”) pioneer with deep expertise in SiC power device design and process, based in Dulles, Virginia. The future earn-out payments were fair valued at $0.6 million, for a total merger consideration of $244.0 million.</w:t>
      </w:r>
    </w:p>
    <w:p>
      <w:pPr>
        <w:spacing w:after="0" w:line="4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Our revenue represents the sale of semiconductors through specialized distributors to original equipment manufacturers (“OEMs”), their suppliers and other end customers.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overall product mix and sales volumes;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and losses in market share and design win traction;</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pace at which technology is adopted in our end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stage of our products in their respective life cycles;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of specialized field application engineering resources supporting demand creation and end customer adoption of new products;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achieving acceptable yields and obtaining adequate production capacity from our wafer foundries and assembly and test subcontractors;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end customers’ products; governmental regulations influencing our markets;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global and regional economic cycles.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well diversified across the United States, Europe, and Asia.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primarily consists of interest earned from our cash on hand.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primarily consists of interest under our term loan facility, held during the fiscal year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Legacy Navitas is a dual domesticated corporation for Ireland and U.S. federal income tax purposes. Refer to Note 14, Provision for Income Taxes, in our accompanying condensed consolidated financial statements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tables and discussion below present our results for the three and nine months ended September 30, 2023 and 2022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2"/>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72"/>
              <w:spacing w:after="0"/>
              <w:rPr>
                <w:sz w:val="20"/>
                <w:szCs w:val="20"/>
                <w:color w:val="auto"/>
              </w:rPr>
            </w:pPr>
            <w:r>
              <w:rPr>
                <w:rFonts w:ascii="Arial" w:cs="Arial" w:eastAsia="Arial" w:hAnsi="Arial"/>
                <w:sz w:val="14"/>
                <w:szCs w:val="14"/>
                <w:b w:val="1"/>
                <w:bCs w:val="1"/>
                <w:color w:val="auto"/>
              </w:rPr>
              <w:t>Change</w:t>
            </w:r>
          </w:p>
        </w:tc>
      </w:tr>
      <w:tr>
        <w:trPr>
          <w:trHeight w:val="217"/>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39"/>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w w:val="94"/>
              </w:rPr>
              <w:t>Cost of revenues (exclusive of amortization of intangible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included below)</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16,553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35,746</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(28,646)</w:t>
            </w:r>
          </w:p>
        </w:tc>
        <w:tc>
          <w:tcPr>
            <w:tcW w:w="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Gain (loss) from change in fair value of earnout liabilities</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34,473</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70"/>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w:t>
            </w:r>
          </w:p>
        </w:tc>
      </w:tr>
      <w:tr>
        <w:trPr>
          <w:trHeight w:val="264"/>
        </w:trPr>
        <w:tc>
          <w:tcPr>
            <w:tcW w:w="4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7,542</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50,505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40,347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8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9"/>
        </w:trPr>
        <w:tc>
          <w:tcPr>
            <w:tcW w:w="4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49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w w:val="96"/>
              </w:rPr>
              <w:t>Cost of revenues (exclusive of amortization of intangible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included below)</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14,667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16,367</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111,415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64"/>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(91,338)</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Gain (loss) from change in fair value of earnout liabilities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(137,665)</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900" w:type="dxa"/>
            <w:vAlign w:val="bottom"/>
            <w:gridSpan w:val="2"/>
          </w:tcPr>
          <w:p>
            <w:pPr>
              <w:ind w:left="5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(22,048)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(185,424)</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(184,325)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9,849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(194,174)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(193,894)</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3480"/>
        <w:spacing w:after="0" w:line="378" w:lineRule="auto"/>
        <w:rPr>
          <w:sz w:val="20"/>
          <w:szCs w:val="20"/>
          <w:color w:val="auto"/>
        </w:rPr>
      </w:pPr>
      <w:r>
        <w:rPr>
          <w:rFonts w:ascii="Arial" w:cs="Arial" w:eastAsia="Arial" w:hAnsi="Arial"/>
          <w:sz w:val="18"/>
          <w:szCs w:val="18"/>
          <w:b w:val="1"/>
          <w:bCs w:val="1"/>
          <w:color w:val="auto"/>
        </w:rPr>
        <w:t xml:space="preserve">Three Months Ended September 30, 2023 Compared to the Three Months Ended September 30, 2022 </w:t>
      </w:r>
      <w:r>
        <w:rPr>
          <w:rFonts w:ascii="Arial" w:cs="Arial" w:eastAsia="Arial" w:hAnsi="Arial"/>
          <w:sz w:val="18"/>
          <w:szCs w:val="18"/>
          <w:b w:val="1"/>
          <w:bCs w:val="1"/>
          <w:i w:val="1"/>
          <w:iCs w:val="1"/>
          <w:u w:val="single" w:color="auto"/>
          <w:color w:val="auto"/>
        </w:rPr>
        <w:t>Revenue</w:t>
      </w:r>
    </w:p>
    <w:p>
      <w:pPr>
        <w:jc w:val="both"/>
        <w:ind w:firstLine="486"/>
        <w:spacing w:after="0" w:line="286" w:lineRule="auto"/>
        <w:rPr>
          <w:sz w:val="20"/>
          <w:szCs w:val="20"/>
          <w:color w:val="auto"/>
        </w:rPr>
      </w:pPr>
      <w:r>
        <w:rPr>
          <w:rFonts w:ascii="Arial" w:cs="Arial" w:eastAsia="Arial" w:hAnsi="Arial"/>
          <w:sz w:val="17"/>
          <w:szCs w:val="17"/>
          <w:color w:val="auto"/>
        </w:rPr>
        <w:t>Revenue for the three months ended September 30, 2023 was $22.0 million compared to $10.2 million for the three months ended September 30, 2022, an increase of $11.7 million, or 115%. The increase primarily reflects a combination of the Company’s customer growth trajectory, evolving from aftermarket customers to higher volume customers, and the accretive revenue impact from the acquisition of GeneSiC.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revenues for the three months ended September 30, 2023 was $14.9 million compared to $9.9 million for the three months ended September 30, 2022, an increase of $5.0 million or 51%. The increase was primarily driven by significant revenue growth, acquisition of GeneSiC, in addition to TSMC’s 20% wafer price increase which created a higher cost of revenues, coupled with an inventory reserve of $2.0 million in the three months ended September 30, 2023 primarily related to the exit of product lines.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expense for the three months ended September 30, 2023 of $16.6 million increased by $5.0 million, or 44%, when compared to the three months ended September 30, 2022, primarily driven by an increase of $1.7 million in compensation costs related to growth in headcount, $1.0 million toward the expansion of new products, and</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$0.8 million in stock based compensation. We expect research and development expense to continue to increase as we grow our headcount to support our expansion into new applications.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general and administrative expense for the three months ended September 30, 2023 of $14.4 million decreased by $9.6 million, or 40%, when compared to the three months ended September 30, 2022, primarily driven by decreases of $5.2 million in transaction expenses and $4.9 million in stock based compensation, offset by an increase of $1.0 million in headcount costs. We expect selling, general and administrative costs to increase to support our growth and as a result of the increased costs for infrastructure required as a public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Amortization of Intangible Assets</w:t>
      </w:r>
    </w:p>
    <w:p>
      <w:pPr>
        <w:spacing w:after="0" w:line="14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Amortization of intangible assets for the three months ended September 30, 2023 of $4.8 million increased by $2.5 million, or 113%, when compared to the three months ended September 30, 2022. The increase is primarily due to business acquisitions that occurred during the fiscal year ended December 31, 2022, resulting in amortization of these intangible assets for only one half of a quarter during the three months ended September 30, 2022, compared to a full quarter of amortization during the three months ended September 30,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interest income for the three months ended September 30, 2023 was $1.7 million compared to $0.6 million net interest income for the three months ended September 30, 2022, primarily due to the higher interest rate received on money markets funds.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three months ended September 30, 2023, we recognized a $34.5 million gain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$34.5 million was primarily a result of the decrease of the closing price of our Class A common stock listed on the Nasdaq, resulting in the decrease in the estimated fair value of the earnout shares from $8.58 as of June 30, 2023 to $4.53 as of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(Benefit) Provision</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Income tax provision for the three months ended September 30, 2023 increased $10.2 million when compared to the income tax benefit of $10.1 million three months ended September 30, 2022. As a result of the GeneSiC Semiconductor Inc. acquisition during the three months ended September 30, 2022, the Company released $9.9 million of U.S. valuation allowance. The release was attributable to a preliminary estimate of $23.2 million of net deferred tax liabilities recorded on GeneSiC’s opening balance sheets that offset other U.S. net deferred tax assets. We expect our tax rate to remain close to zero in the near term due to full valuation allowances against deferred tax assets.</w:t>
      </w:r>
    </w:p>
    <w:p>
      <w:pPr>
        <w:spacing w:after="0" w:line="199" w:lineRule="exact"/>
        <w:rPr>
          <w:sz w:val="20"/>
          <w:szCs w:val="20"/>
          <w:color w:val="auto"/>
        </w:rPr>
      </w:pPr>
    </w:p>
    <w:p>
      <w:pPr>
        <w:ind w:right="3660"/>
        <w:spacing w:after="0" w:line="378" w:lineRule="auto"/>
        <w:rPr>
          <w:sz w:val="20"/>
          <w:szCs w:val="20"/>
          <w:color w:val="auto"/>
        </w:rPr>
      </w:pPr>
      <w:r>
        <w:rPr>
          <w:rFonts w:ascii="Arial" w:cs="Arial" w:eastAsia="Arial" w:hAnsi="Arial"/>
          <w:sz w:val="18"/>
          <w:szCs w:val="18"/>
          <w:b w:val="1"/>
          <w:bCs w:val="1"/>
          <w:color w:val="auto"/>
        </w:rPr>
        <w:t xml:space="preserve">Nine Months Ended September 30, 2023 Compared to the Nine Months Ended September 30, 2022 </w:t>
      </w:r>
      <w:r>
        <w:rPr>
          <w:rFonts w:ascii="Arial" w:cs="Arial" w:eastAsia="Arial" w:hAnsi="Arial"/>
          <w:sz w:val="18"/>
          <w:szCs w:val="18"/>
          <w:b w:val="1"/>
          <w:bCs w:val="1"/>
          <w:i w:val="1"/>
          <w:iCs w:val="1"/>
          <w:u w:val="single" w:color="auto"/>
          <w:color w:val="auto"/>
        </w:rPr>
        <w:t>Revenue</w:t>
      </w:r>
    </w:p>
    <w:p>
      <w:pPr>
        <w:jc w:val="both"/>
        <w:ind w:firstLine="486"/>
        <w:spacing w:after="0" w:line="259" w:lineRule="auto"/>
        <w:rPr>
          <w:sz w:val="20"/>
          <w:szCs w:val="20"/>
          <w:color w:val="auto"/>
        </w:rPr>
      </w:pPr>
      <w:r>
        <w:rPr>
          <w:rFonts w:ascii="Arial" w:cs="Arial" w:eastAsia="Arial" w:hAnsi="Arial"/>
          <w:sz w:val="18"/>
          <w:szCs w:val="18"/>
          <w:color w:val="auto"/>
        </w:rPr>
        <w:t>Revenue for the nine months ended September 30, 2023 was $53.4 million compared to $25.6 million for the nine months ended September 30, 2022, an increase of $27.8 million, or 109%. The increase for the nine months ended September 30, 2023 compared to the nine months ended September 30, 2022 was due to the same factors discussed above for the three months ended September 30, 2023 compared to the three months ended September 30,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revenues for the nine months ended September 30, 2023 was $33.3 million compared to $18.7 million for the nine months ended September 30, 2022, an increase of $14.7 million or 79%. The increase for the nine months ended September 30, 2023 compared to the nine months ended September 30, 2022 was due to the same factors discussed above for the three months ended September 30, 2023 compared to the three months ended September 30, 2022.</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Research and development expense for the nine months ended September 30, 2023 of $50.7 million increased by $16.4 million, or 48%, when compared to the nine months ended September 30, 2022, driven by an increase of $8.3 million in compensation costs related to growth in headcount and $2.4 million toward the expansion of new products, in addition to an increase of $3.9 million in stock based compensation. We expect research and development expense to continue to increase as we grow our headcount to support our expansion into new applications.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Selling, general and administrative expense for the nine months ended September 30, 2023 of $46.6 million decreased by $16.0 million, or 26%, when compared to the nine months ended September 30, 2022, driven by decreases of $15.3 million in stock based compensation, $3.8 million lower transaction expense, and $0.3 million in professional fees, partially offset by an increase of $4.1 million in headcount costs We expect selling, general and administrative costs to increase to support our growth and as a result of the increased costs for infrastructure required as a public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Amortization of Intangible Assets</w:t>
      </w:r>
    </w:p>
    <w:p>
      <w:pPr>
        <w:spacing w:after="0" w:line="14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Amortization of intangible assets for the nine months ended September 30, 2023 of $14.0 million increased by $11.6 million, or 482%, when compared to the nine months ended September 30, 2022. The increase is primarily due to business acquisitions that occurred during the second-half of fiscal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interest income for the nine months ended September 30, 2023 was $3.4 million compared to $0.7 million net interest income for the nine months ended September 30, 2022, primarily due to the higher interest rate received on money markets funds.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nine months ended September 30, 2023, we recognized a $25.5 million loss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$25.5 million was primarily a result of the increase of the closing price of our Class A common stock listed on the Nasdaq, resulting in the increase in the estimated fair value of the earnout shares from $1.47 as of December 31, 2022 to $4.53 as of September 30,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(Benefit) Provision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Income tax benefit for the nine months ended September 30, 2023 increased by $9.8 million when compared to the nine months ended September 30, 2022. The change for the nine months ended September 30, 2023 compared to the nine months ended September 30, 2022 was due to the same factors discussed above for the three month ended September 30, 2023 compared to the three months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we had cash and cash equivalents of $176.7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 for the nine months ended September 30, 2023 and 2022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September 30, 2023</w:t>
            </w:r>
          </w:p>
        </w:tc>
        <w:tc>
          <w:tcPr>
            <w:tcW w:w="340" w:type="dxa"/>
            <w:vAlign w:val="bottom"/>
          </w:tcPr>
          <w:p>
            <w:pPr>
              <w:spacing w:after="0"/>
              <w:rPr>
                <w:sz w:val="20"/>
                <w:szCs w:val="20"/>
                <w:color w:val="auto"/>
              </w:rPr>
            </w:pPr>
          </w:p>
        </w:tc>
        <w:tc>
          <w:tcPr>
            <w:tcW w:w="21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September 30, 2022</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96"/>
        </w:trPr>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 Data:</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(17,442)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(35,537)</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88,213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(1,476)</w:t>
            </w:r>
          </w:p>
        </w:tc>
      </w:tr>
    </w:tbl>
    <w:p>
      <w:pPr>
        <w:spacing w:after="0" w:line="18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derive liquidity primarily from debt and equity financing activities. As of September 30, 2023, our balance of cash and cash equivalents was $176.7 million, which is an increase of $66.4 million or 60% compared to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For the nine months ended September 30, 2023, net cash used in operating activities was $17.4 million, which primarily reflects a net loss of $113.4 million. This decrease to operating cash flows are partially offset by adjustments for non-cash share-based compensation of $41.8 million, non-cash losses of $25.5 million in earnout liabilities, amortization of intangible assets of $14.0 million, and an aggregate cash provided by operating assets and liabilities of $11.5 million. Specifically, increases in deferred revenue of $13.3 million, accrued compensation expense of $12.2 million, increases in accrued expenses of $3.2 million, and increases in account payable of $2.5 million, partially offset by a $8.4 million increase in account receivable and $1.6 million increase in other assets, a $0.9 million increase in prepaid expenses and other, and a decrease in operating lease liabilities of $1.5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2023 of $4.4 million was primarily due to $1.0 million cash funding of a joint venture and $3.4 million for purchases of fixed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2023 of $88.2 million was primarily due to proceeds from the issuance of common stock in May 2023 of $86.9 million and proceeds from stock option exercises of $1.8 million, offset by the payment of May 2023 public offering costs of $0.5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ordinary course of business, we enter into contractual arrangements that may require future cash payments. As of September 30, 2023, our non-cancellable contractual arrangements consisted entirely of lease obligations. Refer to Note 8 -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we did not have any off-balance sheet arrangements as defined in Item 303(a)(4)(ii) of Regulation S-K.</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in Item 7, “Management’s Discussion and Analysis of Financial Condition and Results of Operations”, included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 Since the value of our public float exceeded $700 million as of September 30, 2023, we have ceased to be an emerging growth company as of the end of fiscal year 2023 and will become a large accelerated filer, as defined by applicable regulations, effective as of January 1, 2024.</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 13a-15(e) under the Exchange Act) as of September 30, 2023, pursuant to Exchange Act Rule 13a-</w:t>
      </w:r>
    </w:p>
    <w:p>
      <w:pPr>
        <w:spacing w:after="0" w:line="2" w:lineRule="exact"/>
        <w:rPr>
          <w:sz w:val="20"/>
          <w:szCs w:val="20"/>
          <w:color w:val="auto"/>
        </w:rPr>
      </w:pPr>
    </w:p>
    <w:p>
      <w:pPr>
        <w:jc w:val="both"/>
        <w:ind w:firstLine="8"/>
        <w:spacing w:after="0" w:line="255"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this evaluation, our chief executive officer and chief financial officer have concluded that, as of September 30, 2023, as a result of the material weaknesses in our internal control over financial reporting discussed below and in the Company’s annual report on Form 10-K for the year ended December 31, 2022, our disclosure controls and procedures were not effective.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disclosed in Item 9 of our annual report on Form 10-K for the year ended December 31, 2022, management concluded that we lack a sufficient number of trained professionals with technical accounting expertise to identify, evaluate, value and account for complex and non-routine transactions, including revenue and stock-based compensation. We also found we have insufficient accounting resources to maintain appropriate segregation of duties, including to ensure journal entries are reviewed by personnel independent of the preparer.</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Management has taken steps to evaluate resources throughout the organization to determine where current resources should be reassigned and where additional resources are needed to consistently and timely execute internal control activities. During the first quarter of 2023, an SEC reporting manger was added to the accounting department and management plans to hire additional accounting staff during the remainder of the year. For more complex transactions and to the extent there is a lack of knowledge within the current accounting team, management plans to engage external professional firms to assist with such transactions as they arise, and to make additional hires and consulting arrangements as necessary. During the second quarter, management hired a consulting firm to act as the Company’s co-sourced internal audit department and assist with the Company’s SOX 404(b) readiness. During the third quarter, the Company continued its’ documentation of key business processes and key controls. During this process, the Company identified and implemented additional internal controls to mitigate material weaknesses identified from the prior year.The material weaknesses will not be considered remediated until remediated controls operate for a sufficient period of time and management has concluded that these controls are operating effectively.</w:t>
      </w:r>
    </w:p>
    <w:p>
      <w:pPr>
        <w:spacing w:after="0" w:line="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may be involved in various disputes and litigation matters that arise in the ordinary course of business. We are currently not a party to any material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risk factors disclosed in Part I—Item 1A, “Risk Factors,” in our annual report on Form 10-K for the fiscal year ended December 31, 2022, which was filed with the SEC on April 3, 2023, the following risks could also materially adversely affect our operating results, financial condition or future business.</w:t>
      </w:r>
    </w:p>
    <w:p>
      <w:pPr>
        <w:spacing w:after="0" w:line="20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Our management has broad discretion as to the use of the proceeds from our recent follow-on equity offering and may not use the proceeds effectively.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has broad discretion in the application of the net proceeds from this our recently completed follow-on equity offering, described in Note 1 to our consolidated financial statements included in this report. Because of the number and variability of factors that will determine our use of the net proceeds from the offering, their ultimate use may vary substantially from their currently intended use. Pending their use, we may invest the net proceeds from this offering in short-term, investment-grade, interest-bearing securities. These investments may not yield returns that enhance stockholder value. If we do not invest or apply the net proceeds from this offering in ways that enhance stockholder value, we may fail to achieve expected financial results, which could cause our stock price to decline.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in our annual report on Form 10-K for the year ended December 31, 2021, in connection with the audit of our consolidated financial statements for the year ended December 31, 2021, we identified material weaknesses in our internal control over financial reporting, as described above in Part I, Item 4, Controls and Procedures. In 2022, we began implementing and are continuing to implement measures designed to improve our internal control over financial reporting to remediate these material weaknesses, specifically by hiring additional accounting personnel to augment existing technical expertise as well as to provide the staffing necessary to maintain effective segregation of duties. As previously disclosed in our annual report on Form 10-K for the year ended December 31, 2022, in connection with the audit of our consolidated financial statements for the year ended December 31, 2022, we identified that these material weaknesses continue to exist as of December 31, 2022. And as disclosed above in Part I, Item 4, Controls and Procedures, we identified that these material weaknesses continue to exist as of September 30, 2023.</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remediation efforts are ongoing, and we will continue our initiatives to implement and document policies and procedures and strengthen our internal control environment. Remediation of the identified material weaknesses and strengthening our internal control environment will require a substantial effort throughout the remainder of 2023. The material weaknesses cannot be considered completely remediated until the applicable controls have operated for a sufficient period of time and management has concluded, through testing, that these controls are operating effectively. In addition, it is possible that certain controls we plan to implement in 2023 will not have operated for a sufficient period of time in 2023 to test their operating effectiveness as part of our evaluation of internal control over financial reporting as of December 31, 2023 and may extend to the following year.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remediate the material weaknesses described above, we have pursued the following remediation steps:</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added an SEC reporting manager to the accounting team with technical accounting experience.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outsourced complex technical accounting matters to an external third party to provide assistance to us when such accounting matters arise.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a system generated report from our accounting system that identifies if edits were made to journal entries and posted without review. On at least a quarterly basis, our management will review this report to ensure journal entries are valid.</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through our continued remediation efforts we are unable to successfully remediate our existing or any future material weaknesses in our internal control over financial reporting, or if we identify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reported financial information as a result, which would likely have a negative effect on the trading price of our stock. We also could become subject to investigations by Nasdaq, the SEC or other regulatory authorities.</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outsized impacts on transaction certainty, timing, feasibility, and cost, among other things. FDI regulatory policies and practices are rapidly evolving, and in the event that an FDI regulator reviews one or more proposed or existing investments, there can be no assurances that we will 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required divestments, which could have a material impact on us.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United States, certain investments that involve the acquisition of, or investment in, a U.S. business by an investor subject to foreign control (a “foreign person”) may be subject to review and approval by the Committee on Foreign Investment in the United States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always are subject to CFIUS jurisdiction. CFIUS’s jurisdiction also extends to investments that do not result in control of a U.S. business by a foreign person but afford certain foreign investors certain information or governance rights in a U.S. business that has a nexus to, among other things, “critical technologies,” and transactions involving companies that develop, produce, or test critical technologies may be subject to mandatory filing requirements. In addition, recent U.S. regulatory initiatives have classified certain semiconductor technologies as “critical to national security,” including compound semiconductors and wide-bandgap semiconductors. Both gallium nitride (GaN) and silicon carbide (SiC) are compound semiconductors and wide-bandgap semiconductors. As a result, our company’s exclusive focus on GaN- and SiC-based products, together with our global presence in rapidly growing markets, including China, may subject our company to additional regulatory restrictions or scrutiny, including by CFIUS, in connection with past or future transactions that involve investments in us or by us. Whether or not our business is deemed to involve “critical technologies,” CFIUS could choose to review proposed or past investments in us by foreign persons.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recent communications with CFIUS with respect to our products, investors and acquisitions, and may have additional communications in the future with respect to these or other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matters. Any future communications with CFIUS or other similar regulatory agency with authority over FDI, if not satisfactorily resolved, may result in material restrictions, conditions, prohibitions or penalties on us or our investors.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Finally, U.S. authorities have publicly announced plans to institute an outbound investment review regime, and various legislative proposals to implement such a regime are also pending. For example, on August 9, 2023, the U.S. Treasury Department issued an Advance Notice of Proposed Rulemaking announcing a proposed program that would prohibit certain types of investments by U.S. companies into certain Chinese entities with capabilities or activities related to specified semiconductor technologies, including integrated circuits manufactured from a gallium-based compound semiconductor. The final scope and content of this program remain to be defined through public comment and further rulemaking. There can be no assurance that any such regime will not restrict our ability to engage in commercially desirable investments in jurisdictions outside the United States, particularly China, or that any such restrictions will not impose material costs or competitive disadvantages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420" w:type="dxa"/>
            <w:vAlign w:val="bottom"/>
            <w:gridSpan w:val="2"/>
          </w:tcPr>
          <w:p>
            <w:pPr>
              <w:ind w:left="1240"/>
              <w:spacing w:after="0"/>
              <w:rPr>
                <w:sz w:val="20"/>
                <w:szCs w:val="20"/>
                <w:color w:val="auto"/>
              </w:rPr>
            </w:pPr>
            <w:r>
              <w:rPr>
                <w:rFonts w:ascii="Arial" w:cs="Arial" w:eastAsia="Arial" w:hAnsi="Arial"/>
                <w:sz w:val="18"/>
                <w:szCs w:val="18"/>
                <w:b w:val="1"/>
                <w:bCs w:val="1"/>
                <w:color w:val="auto"/>
              </w:rPr>
              <w:t>EXHIBIT INDEX</w:t>
            </w:r>
          </w:p>
        </w:tc>
      </w:tr>
      <w:tr>
        <w:trPr>
          <w:trHeight w:val="213"/>
        </w:trPr>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1800" w:type="dxa"/>
            <w:vAlign w:val="bottom"/>
          </w:tcPr>
          <w:p>
            <w:pPr>
              <w:spacing w:after="0"/>
              <w:rPr>
                <w:sz w:val="18"/>
                <w:szCs w:val="18"/>
                <w:color w:val="auto"/>
              </w:rPr>
            </w:pPr>
          </w:p>
        </w:tc>
        <w:tc>
          <w:tcPr>
            <w:tcW w:w="6420" w:type="dxa"/>
            <w:vAlign w:val="bottom"/>
            <w:gridSpan w:val="2"/>
          </w:tcPr>
          <w:p>
            <w:pPr>
              <w:ind w:left="1900"/>
              <w:spacing w:after="0"/>
              <w:rPr>
                <w:sz w:val="20"/>
                <w:szCs w:val="20"/>
                <w:color w:val="auto"/>
              </w:rPr>
            </w:pPr>
            <w:r>
              <w:rPr>
                <w:rFonts w:ascii="Arial" w:cs="Arial" w:eastAsia="Arial" w:hAnsi="Arial"/>
                <w:sz w:val="16"/>
                <w:szCs w:val="16"/>
                <w:b w:val="1"/>
                <w:bCs w:val="1"/>
                <w:color w:val="auto"/>
              </w:rPr>
              <w:t>Description</w:t>
            </w:r>
          </w:p>
        </w:tc>
      </w:tr>
      <w:tr>
        <w:trPr>
          <w:trHeight w:val="266"/>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8220" w:type="dxa"/>
            <w:vAlign w:val="bottom"/>
            <w:tcBorders>
              <w:top w:val="single" w:sz="8" w:color="auto"/>
            </w:tcBorders>
            <w:gridSpan w:val="3"/>
          </w:tcPr>
          <w:p>
            <w:pPr>
              <w:spacing w:after="0"/>
              <w:rPr>
                <w:rFonts w:ascii="Arial" w:cs="Arial" w:eastAsia="Arial" w:hAnsi="Arial"/>
                <w:sz w:val="16"/>
                <w:szCs w:val="16"/>
                <w:color w:val="0000FF"/>
                <w:w w:val="94"/>
              </w:rPr>
            </w:pPr>
            <w:hyperlink r:id="rId57">
              <w:r>
                <w:rPr>
                  <w:rFonts w:ascii="Arial" w:cs="Arial" w:eastAsia="Arial" w:hAnsi="Arial"/>
                  <w:sz w:val="16"/>
                  <w:szCs w:val="16"/>
                  <w:color w:val="0000FF"/>
                  <w:w w:val="94"/>
                </w:rPr>
                <w:t>Underwriting Agreement, dated as of May 23, 2023, by and among Navitas Semiconductor Corporation, Morgan Stanley &amp;</w:t>
              </w:r>
            </w:hyperlink>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0" w:type="dxa"/>
            <w:vAlign w:val="bottom"/>
            <w:tcBorders>
              <w:top w:val="single" w:sz="8" w:color="0000FF"/>
            </w:tcBorders>
            <w:gridSpan w:val="2"/>
          </w:tcPr>
          <w:p>
            <w:pPr>
              <w:spacing w:after="0" w:line="142"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 xml:space="preserve">Co. LLC and Jefferies LLC </w:t>
              </w:r>
              <w:r>
                <w:rPr>
                  <w:rFonts w:ascii="Arial" w:cs="Arial" w:eastAsia="Arial" w:hAnsi="Arial"/>
                  <w:sz w:val="16"/>
                  <w:szCs w:val="16"/>
                  <w:color w:val="000000"/>
                  <w:w w:val="93"/>
                </w:rPr>
                <w:t>(incorporated by reference to Exhibit 1.1 of the Company’s current report on Form 8-K, filed with</w:t>
              </w:r>
            </w:hyperlink>
          </w:p>
        </w:tc>
        <w:tc>
          <w:tcPr>
            <w:tcW w:w="20" w:type="dxa"/>
            <w:vAlign w:val="bottom"/>
          </w:tcPr>
          <w:p>
            <w:pPr>
              <w:spacing w:after="0"/>
              <w:rPr>
                <w:sz w:val="12"/>
                <w:szCs w:val="12"/>
                <w:color w:val="auto"/>
              </w:rPr>
            </w:pPr>
          </w:p>
        </w:tc>
      </w:tr>
      <w:tr>
        <w:trPr>
          <w:trHeight w:val="200"/>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FF"/>
            </w:tcBorders>
          </w:tcPr>
          <w:p>
            <w:pPr>
              <w:spacing w:after="0"/>
              <w:rPr>
                <w:sz w:val="20"/>
                <w:szCs w:val="20"/>
                <w:color w:val="auto"/>
              </w:rPr>
            </w:pPr>
            <w:r>
              <w:rPr>
                <w:rFonts w:ascii="Arial" w:cs="Arial" w:eastAsia="Arial" w:hAnsi="Arial"/>
                <w:sz w:val="16"/>
                <w:szCs w:val="16"/>
                <w:color w:val="auto"/>
                <w:w w:val="94"/>
              </w:rPr>
              <w:t>the SEC on May 26, 2023)</w:t>
            </w:r>
          </w:p>
        </w:tc>
        <w:tc>
          <w:tcPr>
            <w:tcW w:w="6420" w:type="dxa"/>
            <w:vAlign w:val="bottom"/>
            <w:gridSpan w:val="2"/>
          </w:tcPr>
          <w:p>
            <w:pPr>
              <w:spacing w:after="0"/>
              <w:rPr>
                <w:sz w:val="17"/>
                <w:szCs w:val="17"/>
                <w:color w:val="auto"/>
              </w:rPr>
            </w:pPr>
          </w:p>
        </w:tc>
      </w:tr>
      <w:tr>
        <w:trPr>
          <w:trHeight w:val="287"/>
        </w:trPr>
        <w:tc>
          <w:tcPr>
            <w:tcW w:w="88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0000FF"/>
              </w:rPr>
              <w:t>Certification of the Chief Executive Officer pursuant to Rule 13a-14(a) of the Exchange Act</w:t>
            </w:r>
          </w:p>
        </w:tc>
      </w:tr>
      <w:tr>
        <w:trPr>
          <w:trHeight w:val="270"/>
        </w:trPr>
        <w:tc>
          <w:tcPr>
            <w:tcW w:w="88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3"/>
                <w:szCs w:val="23"/>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0000FF"/>
              </w:rPr>
              <w:t>Certification of the Chief Financial Officer pursuant to Rule 13a-14(a) of the Exchange Act</w:t>
            </w:r>
          </w:p>
        </w:tc>
      </w:tr>
      <w:tr>
        <w:trPr>
          <w:trHeight w:val="226"/>
        </w:trPr>
        <w:tc>
          <w:tcPr>
            <w:tcW w:w="88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0000FF"/>
                <w:w w:val="95"/>
              </w:rPr>
              <w:t>Certification of the Chief Executive Officer and the Chief Financial Officer pursuant to Rule 13a-14(b) of the Exchange Act</w:t>
            </w:r>
          </w:p>
        </w:tc>
      </w:tr>
      <w:tr>
        <w:trPr>
          <w:trHeight w:val="20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0000FF"/>
              </w:rPr>
              <w:t>and 18 U.S.C. § 1350</w:t>
            </w: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822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822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822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822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822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 Filed herewith</w:t>
      </w:r>
    </w:p>
    <w:p>
      <w:pPr>
        <w:ind w:left="90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9"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NAVITAS SEMICONDUCTOR</w:t>
      </w:r>
    </w:p>
    <w:p>
      <w:pPr>
        <w:ind w:left="448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18345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Gene Sheridan</w:t>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ind w:left="5020"/>
        <w:spacing w:after="0"/>
        <w:rPr>
          <w:sz w:val="20"/>
          <w:szCs w:val="20"/>
          <w:color w:val="auto"/>
        </w:rPr>
      </w:pPr>
      <w:r>
        <w:rPr>
          <w:rFonts w:ascii="Arial" w:cs="Arial" w:eastAsia="Arial" w:hAnsi="Arial"/>
          <w:sz w:val="18"/>
          <w:szCs w:val="18"/>
          <w:color w:val="auto"/>
        </w:rPr>
        <w:t>(principal executive officer)</w:t>
      </w:r>
    </w:p>
    <w:p>
      <w:pPr>
        <w:spacing w:after="0" w:line="344" w:lineRule="exact"/>
        <w:rPr>
          <w:sz w:val="20"/>
          <w:szCs w:val="20"/>
          <w:color w:val="auto"/>
        </w:rPr>
      </w:pPr>
    </w:p>
    <w:p>
      <w:pPr>
        <w:jc w:val="center"/>
        <w:ind w:right="-79"/>
        <w:spacing w:after="0"/>
        <w:tabs>
          <w:tab w:leader="none" w:pos="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2023</w:t>
      </w: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NAVITAS SEMICONDUCTOR</w:t>
      </w:r>
    </w:p>
    <w:p>
      <w:pPr>
        <w:ind w:left="440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18599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Ron Shelton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and accounting</w:t>
      </w:r>
    </w:p>
    <w:p>
      <w:pPr>
        <w:ind w:left="4940"/>
        <w:spacing w:after="0"/>
        <w:rPr>
          <w:sz w:val="20"/>
          <w:szCs w:val="20"/>
          <w:color w:val="auto"/>
        </w:rPr>
      </w:pPr>
      <w:r>
        <w:rPr>
          <w:rFonts w:ascii="Arial" w:cs="Arial" w:eastAsia="Arial" w:hAnsi="Arial"/>
          <w:sz w:val="18"/>
          <w:szCs w:val="18"/>
          <w:color w:val="auto"/>
        </w:rPr>
        <w:t>officer)</w:t>
      </w:r>
    </w:p>
    <w:p>
      <w:pPr>
        <w:spacing w:after="0" w:line="277" w:lineRule="exact"/>
        <w:rPr>
          <w:sz w:val="20"/>
          <w:szCs w:val="20"/>
          <w:color w:val="auto"/>
        </w:rPr>
      </w:pPr>
    </w:p>
    <w:p>
      <w:pPr>
        <w:jc w:val="center"/>
        <w:ind w:right="80"/>
        <w:spacing w:after="0"/>
        <w:tabs>
          <w:tab w:leader="none" w:pos="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60"/>
          </w:cols>
          <w:pgMar w:left="320" w:top="449" w:right="8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September 30, 2023 of Navitas Semiconductor Corporation;</w:t>
      </w:r>
    </w:p>
    <w:p>
      <w:pPr>
        <w:spacing w:after="0" w:line="169" w:lineRule="exact"/>
        <w:rPr>
          <w:rFonts w:ascii="Arial" w:cs="Arial" w:eastAsia="Arial" w:hAnsi="Arial"/>
          <w:sz w:val="17"/>
          <w:szCs w:val="17"/>
          <w:color w:val="auto"/>
        </w:rPr>
      </w:pPr>
    </w:p>
    <w:p>
      <w:pPr>
        <w:jc w:val="both"/>
        <w:ind w:left="340" w:hanging="332"/>
        <w:spacing w:after="0" w:line="224"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8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jc w:val="both"/>
        <w:ind w:left="740" w:hanging="408"/>
        <w:spacing w:after="0" w:line="224" w:lineRule="auto"/>
        <w:tabs>
          <w:tab w:leader="none" w:pos="84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5" w:lineRule="exact"/>
        <w:rPr>
          <w:rFonts w:ascii="Arial" w:cs="Arial" w:eastAsia="Arial" w:hAnsi="Arial"/>
          <w:sz w:val="18"/>
          <w:szCs w:val="18"/>
          <w:color w:val="auto"/>
        </w:rPr>
      </w:pPr>
    </w:p>
    <w:p>
      <w:pPr>
        <w:ind w:left="740" w:hanging="408"/>
        <w:spacing w:after="0" w:line="258" w:lineRule="auto"/>
        <w:tabs>
          <w:tab w:leader="none" w:pos="86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ind w:left="340" w:hanging="332"/>
        <w:spacing w:after="0" w:line="274" w:lineRule="auto"/>
        <w:tabs>
          <w:tab w:leader="none" w:pos="38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740" w:hanging="408"/>
        <w:spacing w:after="0" w:line="235" w:lineRule="auto"/>
        <w:tabs>
          <w:tab w:leader="none" w:pos="75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740" w:hanging="408"/>
        <w:spacing w:after="0" w:line="235" w:lineRule="auto"/>
        <w:tabs>
          <w:tab w:leader="none" w:pos="75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Date: November 9,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Gene Sheridan</w:t>
            </w:r>
          </w:p>
        </w:tc>
      </w:tr>
      <w:tr>
        <w:trPr>
          <w:trHeight w:val="155"/>
        </w:trPr>
        <w:tc>
          <w:tcPr>
            <w:tcW w:w="5460" w:type="dxa"/>
            <w:vAlign w:val="bottom"/>
          </w:tcPr>
          <w:p>
            <w:pPr>
              <w:spacing w:after="0"/>
              <w:rPr>
                <w:sz w:val="13"/>
                <w:szCs w:val="13"/>
                <w:color w:val="auto"/>
              </w:rPr>
            </w:pPr>
          </w:p>
        </w:tc>
        <w:tc>
          <w:tcPr>
            <w:tcW w:w="128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Gene Sheridan</w:t>
            </w:r>
          </w:p>
        </w:tc>
        <w:tc>
          <w:tcPr>
            <w:tcW w:w="1460" w:type="dxa"/>
            <w:vAlign w:val="bottom"/>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2740" w:type="dxa"/>
            <w:vAlign w:val="bottom"/>
            <w:gridSpan w:val="2"/>
          </w:tcPr>
          <w:p>
            <w:pPr>
              <w:spacing w:after="0" w:line="176"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Ron Shelton, certify that:</w:t>
      </w:r>
    </w:p>
    <w:p>
      <w:pPr>
        <w:spacing w:after="0" w:line="15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September 30, 2023 of Navitas Semiconductor Corporation;</w:t>
      </w:r>
    </w:p>
    <w:p>
      <w:pPr>
        <w:spacing w:after="0" w:line="169" w:lineRule="exact"/>
        <w:rPr>
          <w:rFonts w:ascii="Arial" w:cs="Arial" w:eastAsia="Arial" w:hAnsi="Arial"/>
          <w:sz w:val="17"/>
          <w:szCs w:val="17"/>
          <w:color w:val="auto"/>
        </w:rPr>
      </w:pPr>
    </w:p>
    <w:p>
      <w:pPr>
        <w:jc w:val="both"/>
        <w:ind w:left="340" w:hanging="332"/>
        <w:spacing w:after="0" w:line="224" w:lineRule="auto"/>
        <w:tabs>
          <w:tab w:leader="none" w:pos="3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76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jc w:val="both"/>
        <w:ind w:left="740" w:hanging="408"/>
        <w:spacing w:after="0" w:line="224" w:lineRule="auto"/>
        <w:tabs>
          <w:tab w:leader="none" w:pos="84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5" w:lineRule="exact"/>
        <w:rPr>
          <w:rFonts w:ascii="Arial" w:cs="Arial" w:eastAsia="Arial" w:hAnsi="Arial"/>
          <w:sz w:val="18"/>
          <w:szCs w:val="18"/>
          <w:color w:val="auto"/>
        </w:rPr>
      </w:pPr>
    </w:p>
    <w:p>
      <w:pPr>
        <w:ind w:left="740" w:hanging="408"/>
        <w:spacing w:after="0" w:line="258" w:lineRule="auto"/>
        <w:tabs>
          <w:tab w:leader="none" w:pos="864"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ind w:left="340" w:hanging="332"/>
        <w:spacing w:after="0" w:line="274" w:lineRule="auto"/>
        <w:tabs>
          <w:tab w:leader="none" w:pos="38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740" w:hanging="408"/>
        <w:spacing w:after="0" w:line="235" w:lineRule="auto"/>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740" w:hanging="408"/>
        <w:spacing w:after="0" w:line="235" w:lineRule="auto"/>
        <w:tabs>
          <w:tab w:leader="none" w:pos="7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u w:val="single" w:color="auto"/>
          <w:color w:val="auto"/>
        </w:rPr>
        <w:t>/s/ Ron Shelton</w:t>
      </w:r>
    </w:p>
    <w:p>
      <w:pPr>
        <w:ind w:left="5480"/>
        <w:spacing w:after="0" w:line="203" w:lineRule="auto"/>
        <w:rPr>
          <w:sz w:val="20"/>
          <w:szCs w:val="20"/>
          <w:color w:val="auto"/>
        </w:rPr>
      </w:pPr>
      <w:r>
        <w:rPr>
          <w:rFonts w:ascii="Arial" w:cs="Arial" w:eastAsia="Arial" w:hAnsi="Arial"/>
          <w:sz w:val="18"/>
          <w:szCs w:val="18"/>
          <w:color w:val="auto"/>
        </w:rPr>
        <w:t>Ron Shelton</w:t>
      </w:r>
    </w:p>
    <w:p>
      <w:pPr>
        <w:ind w:left="5480"/>
        <w:spacing w:after="0" w:line="203" w:lineRule="auto"/>
        <w:rPr>
          <w:sz w:val="20"/>
          <w:szCs w:val="20"/>
          <w:color w:val="auto"/>
        </w:rPr>
      </w:pPr>
      <w:r>
        <w:rPr>
          <w:rFonts w:ascii="Arial" w:cs="Arial" w:eastAsia="Arial" w:hAnsi="Arial"/>
          <w:sz w:val="18"/>
          <w:szCs w:val="18"/>
          <w:color w:val="auto"/>
        </w:rPr>
        <w:t>Sr. Vice President, Chief Financial Officer and Treasurer</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906 of the Sarbanes-Oxley Act of 2002, in his capacity as an officer of Navitas Semiconductor Corporation (“Navitas”), that, to his knowledge, Navitas’ quarterly report on Form 10-Q for the period ended September 30, 2023, fully complies with the requirements of Section 13(a) of the Securities Exchange Act of 1934 and that the information contained in such report fairly presents, in all material respects, the financial condition and results of operations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Date: November 9, 2023</w:t>
            </w:r>
          </w:p>
        </w:tc>
        <w:tc>
          <w:tcPr>
            <w:tcW w:w="4080" w:type="dxa"/>
            <w:vAlign w:val="bottom"/>
            <w:gridSpan w:val="3"/>
          </w:tcPr>
          <w:p>
            <w:pPr>
              <w:spacing w:after="0"/>
              <w:rPr>
                <w:sz w:val="20"/>
                <w:szCs w:val="20"/>
                <w:color w:val="auto"/>
              </w:rPr>
            </w:pPr>
            <w:r>
              <w:rPr>
                <w:rFonts w:ascii="Arial" w:cs="Arial" w:eastAsia="Arial" w:hAnsi="Arial"/>
                <w:sz w:val="18"/>
                <w:szCs w:val="18"/>
                <w:color w:val="auto"/>
              </w:rPr>
              <w:t>/s/ Gene Sheridan</w:t>
            </w:r>
          </w:p>
        </w:tc>
      </w:tr>
      <w:tr>
        <w:trPr>
          <w:trHeight w:val="155"/>
        </w:trPr>
        <w:tc>
          <w:tcPr>
            <w:tcW w:w="546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7"/>
                <w:szCs w:val="17"/>
                <w:color w:val="auto"/>
              </w:rPr>
              <w:t>Gene Sheridan</w:t>
            </w:r>
          </w:p>
        </w:tc>
        <w:tc>
          <w:tcPr>
            <w:tcW w:w="2800" w:type="dxa"/>
            <w:vAlign w:val="bottom"/>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546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620"/>
        </w:trPr>
        <w:tc>
          <w:tcPr>
            <w:tcW w:w="5460" w:type="dxa"/>
            <w:vAlign w:val="bottom"/>
          </w:tcPr>
          <w:p>
            <w:pPr>
              <w:spacing w:after="0"/>
              <w:rPr>
                <w:sz w:val="20"/>
                <w:szCs w:val="20"/>
                <w:color w:val="auto"/>
              </w:rPr>
            </w:pPr>
            <w:r>
              <w:rPr>
                <w:rFonts w:ascii="Arial" w:cs="Arial" w:eastAsia="Arial" w:hAnsi="Arial"/>
                <w:sz w:val="18"/>
                <w:szCs w:val="18"/>
                <w:color w:val="auto"/>
              </w:rPr>
              <w:t>Date: November 9, 2023</w:t>
            </w:r>
          </w:p>
        </w:tc>
        <w:tc>
          <w:tcPr>
            <w:tcW w:w="4080" w:type="dxa"/>
            <w:vAlign w:val="bottom"/>
            <w:gridSpan w:val="3"/>
          </w:tcPr>
          <w:p>
            <w:pPr>
              <w:spacing w:after="0"/>
              <w:rPr>
                <w:sz w:val="20"/>
                <w:szCs w:val="20"/>
                <w:color w:val="auto"/>
              </w:rPr>
            </w:pPr>
            <w:r>
              <w:rPr>
                <w:rFonts w:ascii="Arial" w:cs="Arial" w:eastAsia="Arial" w:hAnsi="Arial"/>
                <w:sz w:val="18"/>
                <w:szCs w:val="18"/>
                <w:color w:val="auto"/>
              </w:rPr>
              <w:t>/s/ Ron Shelton</w:t>
            </w:r>
          </w:p>
        </w:tc>
      </w:tr>
      <w:tr>
        <w:trPr>
          <w:trHeight w:val="155"/>
        </w:trPr>
        <w:tc>
          <w:tcPr>
            <w:tcW w:w="5460" w:type="dxa"/>
            <w:vAlign w:val="bottom"/>
          </w:tcPr>
          <w:p>
            <w:pPr>
              <w:spacing w:after="0"/>
              <w:rPr>
                <w:sz w:val="13"/>
                <w:szCs w:val="13"/>
                <w:color w:val="auto"/>
              </w:rPr>
            </w:pPr>
          </w:p>
        </w:tc>
        <w:tc>
          <w:tcPr>
            <w:tcW w:w="11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Ron Shelton</w:t>
            </w:r>
          </w:p>
        </w:tc>
        <w:tc>
          <w:tcPr>
            <w:tcW w:w="2980" w:type="dxa"/>
            <w:vAlign w:val="bottom"/>
            <w:gridSpan w:val="2"/>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w w:val="90"/>
              </w:rPr>
              <w:t>Sr. Vice President, Chief Financial Officer and Treasurer</w:t>
            </w:r>
          </w:p>
        </w:tc>
      </w:tr>
      <w:tr>
        <w:trPr>
          <w:trHeight w:val="230"/>
        </w:trPr>
        <w:tc>
          <w:tcPr>
            <w:tcW w:w="546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7" Type="http://schemas.openxmlformats.org/officeDocument/2006/relationships/hyperlink" Target="https://www.sec.gov/Archives/edgar/data/1821769/000182176923000099/exhibit11-underwriting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2023-11-09T16:40:03Z</dcterms:created>
  <dcterms:modified xsi:type="dcterms:W3CDTF">2023-11-09T16:40:03Z</dcterms:modified>
</cp:coreProperties>
</file>